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7D0EF" w14:textId="0F99D1E1" w:rsidR="00C42E0B" w:rsidRDefault="00C42E0B" w:rsidP="00C4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C42E0B">
        <w:rPr>
          <w:rFonts w:ascii="Times New Roman" w:hAnsi="Times New Roman" w:cs="Times New Roman"/>
          <w:bCs/>
        </w:rPr>
        <w:t>Załącznik B.56.</w:t>
      </w:r>
    </w:p>
    <w:p w14:paraId="77774DFE" w14:textId="77777777" w:rsidR="00C42E0B" w:rsidRPr="00C42E0B" w:rsidRDefault="00C42E0B" w:rsidP="00C4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14:paraId="36F7FC11" w14:textId="77777777" w:rsidR="00491560" w:rsidRPr="00491560" w:rsidRDefault="00491560" w:rsidP="00491560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491560">
        <w:rPr>
          <w:rFonts w:ascii="Times New Roman" w:eastAsia="Times New Roman" w:hAnsi="Times New Roman" w:cs="Times New Roman"/>
          <w:b/>
          <w:bCs/>
          <w:sz w:val="28"/>
          <w:szCs w:val="20"/>
        </w:rPr>
        <w:t>LECZENIE OPORNEGO NA KASTRACJĘ RAKA GRUCZOŁU KROKOWEGO  (ICD-10  C61)</w:t>
      </w:r>
    </w:p>
    <w:tbl>
      <w:tblPr>
        <w:tblW w:w="4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8"/>
        <w:gridCol w:w="3827"/>
        <w:gridCol w:w="5222"/>
      </w:tblGrid>
      <w:tr w:rsidR="00491560" w:rsidRPr="005D2A3D" w14:paraId="765D053B" w14:textId="77777777" w:rsidTr="00D658ED">
        <w:trPr>
          <w:trHeight w:val="48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DD624" w14:textId="77777777" w:rsidR="00491560" w:rsidRPr="005D2A3D" w:rsidRDefault="00491560" w:rsidP="00CD3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D2A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ZAKRES ŚWIADCZENIA GWARANTOWANEGO</w:t>
            </w:r>
          </w:p>
        </w:tc>
      </w:tr>
      <w:tr w:rsidR="00491560" w:rsidRPr="005D2A3D" w14:paraId="14E52368" w14:textId="77777777" w:rsidTr="009F4402">
        <w:trPr>
          <w:trHeight w:val="703"/>
        </w:trPr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EA6B0" w14:textId="77777777" w:rsidR="00491560" w:rsidRPr="005D2A3D" w:rsidRDefault="00491560" w:rsidP="00BF25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D2A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8A54" w14:textId="77777777" w:rsidR="00491560" w:rsidRPr="000968B7" w:rsidRDefault="00491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68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SCHEMAT DAWKOWANIA LEKU W PROGRAMIE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06A92" w14:textId="77777777" w:rsidR="00491560" w:rsidRPr="005D2A3D" w:rsidRDefault="00491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25A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 DIAGNOSTYCZNE WYKONYWANE W</w:t>
            </w:r>
            <w:r w:rsidR="009539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BF25A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RAMACH PROGRAMU</w:t>
            </w:r>
          </w:p>
        </w:tc>
      </w:tr>
      <w:tr w:rsidR="00491560" w:rsidRPr="005D2A3D" w14:paraId="17129060" w14:textId="77777777" w:rsidTr="009F4402"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C0162" w14:textId="77777777" w:rsidR="00491560" w:rsidRPr="000968B7" w:rsidRDefault="00491560" w:rsidP="00243D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octanem abirateronu przed stosowaniem chemioterapii</w:t>
            </w:r>
          </w:p>
          <w:p w14:paraId="571DD3B5" w14:textId="77777777" w:rsidR="00491560" w:rsidRPr="000968B7" w:rsidRDefault="00491560" w:rsidP="00243D79">
            <w:pPr>
              <w:widowControl w:val="0"/>
              <w:numPr>
                <w:ilvl w:val="1"/>
                <w:numId w:val="1"/>
              </w:numPr>
              <w:spacing w:before="120" w:after="120" w:line="240" w:lineRule="auto"/>
              <w:ind w:left="313" w:right="8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68B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Kryteria kwalifikacji</w:t>
            </w:r>
          </w:p>
          <w:p w14:paraId="2E4FAF0E" w14:textId="77777777" w:rsidR="00491560" w:rsidRPr="005D2A3D" w:rsidRDefault="00491560" w:rsidP="00243D79">
            <w:pPr>
              <w:widowControl w:val="0"/>
              <w:spacing w:after="120" w:line="240" w:lineRule="auto"/>
              <w:ind w:left="313" w:right="8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 leczenia octanem abirateronu w ramach programu kwalifikują się chorzy na raka gruczołu krokowego z przerzutami spełniający poniższe kryteria:</w:t>
            </w:r>
          </w:p>
          <w:p w14:paraId="41FB7FEE" w14:textId="77777777" w:rsidR="00491560" w:rsidRPr="005D2A3D" w:rsidRDefault="005D2A3D" w:rsidP="00243D79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96" w:right="22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histologiczne rozpoznanie raka gruczołowego stercza;</w:t>
            </w:r>
          </w:p>
          <w:p w14:paraId="6867B11D" w14:textId="77777777" w:rsidR="00491560" w:rsidRPr="005D2A3D" w:rsidRDefault="005D2A3D" w:rsidP="00243D79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96" w:right="2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zastosowanie 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chemioterapii nie jest jeszcze wskazane klinicznie;</w:t>
            </w:r>
          </w:p>
          <w:p w14:paraId="6D0295B3" w14:textId="77777777" w:rsidR="00491560" w:rsidRPr="000968B7" w:rsidRDefault="005D2A3D" w:rsidP="00243D79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96" w:right="2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sta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dium oporności na kastrację, określone na podstawie oznaczenia stężenia testosteronu w surowicy wynoszącego 50 ng/dl lub mniej (tj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.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wynoszącego 1,7 nmol/l lub mniej), u</w:t>
            </w:r>
            <w:r w:rsidR="00B53A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 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chorych z progresją choroby ocenioną wg kryteriów w pkt 4);</w:t>
            </w:r>
          </w:p>
          <w:p w14:paraId="1735F103" w14:textId="77777777" w:rsidR="00491560" w:rsidRPr="000968B7" w:rsidRDefault="005D2A3D" w:rsidP="00243D79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96" w:right="2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8B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</w:t>
            </w:r>
            <w:r w:rsidR="00491560" w:rsidRPr="000968B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rogresja choroby określona na podstawie:</w:t>
            </w:r>
          </w:p>
          <w:p w14:paraId="0B6BB2AC" w14:textId="77777777" w:rsidR="00491560" w:rsidRPr="005D2A3D" w:rsidRDefault="00491560" w:rsidP="00243D7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021" w:right="2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trzech kolejnych wzrostów stężenia PSA, oznaczonego w co najmniej tygodniowych odstępach, </w:t>
            </w:r>
            <w:r w:rsidRPr="005D2A3D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z</w:t>
            </w:r>
            <w:r w:rsidRPr="005D2A3D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udowodnionymi </w:t>
            </w: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dwoma wzrostami o 50% wobec wartości wyjściowej (nadir), przy nominalnej wartości stężenia PSA &gt;2 ng/ml</w:t>
            </w:r>
          </w:p>
          <w:p w14:paraId="3DB214E6" w14:textId="77777777" w:rsidR="00491560" w:rsidRPr="005D2A3D" w:rsidRDefault="00491560" w:rsidP="00243D79">
            <w:pPr>
              <w:widowControl w:val="0"/>
              <w:spacing w:after="0" w:line="240" w:lineRule="auto"/>
              <w:ind w:left="1021" w:hanging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</w:p>
          <w:p w14:paraId="73D8A008" w14:textId="77777777" w:rsidR="00491560" w:rsidRPr="005D2A3D" w:rsidRDefault="00491560" w:rsidP="00243D7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021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wystąpienia objawów progresji zmian (układ kostny, narządy wewnętrzne, tkanki miękkie) w badaniach obrazowych;</w:t>
            </w:r>
          </w:p>
          <w:p w14:paraId="588042FF" w14:textId="77777777" w:rsidR="00491560" w:rsidRPr="005D2A3D" w:rsidRDefault="000968B7" w:rsidP="00243D79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40" w:lineRule="auto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topień złośliwości wg sumy Gleasona </w:t>
            </w:r>
            <w:r w:rsidR="00491560" w:rsidRPr="005D2A3D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&lt;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8 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określony na podstawie badania histopatologicznego;</w:t>
            </w:r>
          </w:p>
          <w:p w14:paraId="4B9726A6" w14:textId="77777777" w:rsidR="00491560" w:rsidRPr="005D2A3D" w:rsidRDefault="000968B7" w:rsidP="00243D79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40" w:lineRule="auto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lastRenderedPageBreak/>
              <w:t>n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ieleczenie opioidami z powodu objawów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pacing w:val="2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raka gruczołu krokowego (dopuszczalne jest stosowanie opioidów w przeszłości);</w:t>
            </w:r>
          </w:p>
          <w:p w14:paraId="00B28B5F" w14:textId="77777777" w:rsidR="00491560" w:rsidRPr="005D2A3D" w:rsidRDefault="000968B7" w:rsidP="00243D79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40" w:lineRule="auto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tan sprawności 0 według klasyfikacji WHO;</w:t>
            </w:r>
          </w:p>
          <w:p w14:paraId="5C995F8D" w14:textId="77777777" w:rsidR="00491560" w:rsidRPr="005D2A3D" w:rsidRDefault="000968B7" w:rsidP="00243D79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40" w:lineRule="auto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iek powyżej 18. roku życia.</w:t>
            </w:r>
          </w:p>
          <w:p w14:paraId="02F38C3A" w14:textId="77777777" w:rsidR="00491560" w:rsidRPr="005D2A3D" w:rsidRDefault="00491560" w:rsidP="00243D79">
            <w:pPr>
              <w:widowControl w:val="0"/>
              <w:tabs>
                <w:tab w:val="left" w:pos="808"/>
              </w:tabs>
              <w:spacing w:before="120" w:after="0" w:line="240" w:lineRule="auto"/>
              <w:ind w:right="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Kryteria kwalifikacji muszą być spełnione łącznie.</w:t>
            </w:r>
          </w:p>
          <w:p w14:paraId="54575081" w14:textId="77777777" w:rsidR="00491560" w:rsidRPr="005D2A3D" w:rsidRDefault="00491560" w:rsidP="00243D79">
            <w:pPr>
              <w:widowControl w:val="0"/>
              <w:numPr>
                <w:ilvl w:val="1"/>
                <w:numId w:val="1"/>
              </w:numPr>
              <w:tabs>
                <w:tab w:val="left" w:pos="808"/>
              </w:tabs>
              <w:spacing w:before="120" w:after="120" w:line="240" w:lineRule="auto"/>
              <w:ind w:left="313" w:right="8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</w:pPr>
            <w:r w:rsidRPr="005D2A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Określenie czasu leczenia w programie</w:t>
            </w:r>
          </w:p>
          <w:p w14:paraId="34B850FD" w14:textId="77777777" w:rsidR="00491560" w:rsidRPr="005D2A3D" w:rsidRDefault="00491560" w:rsidP="00243D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Leczenie trwa do czasu podjęcia przez lekarza prowadzącego decyzji o wyłączeniu świadczeniobiorcy z programu, zgodnie z kryteriami wyłączenia z programu.</w:t>
            </w:r>
          </w:p>
          <w:p w14:paraId="1E07C883" w14:textId="77777777" w:rsidR="00491560" w:rsidRPr="005D2A3D" w:rsidRDefault="00491560" w:rsidP="00243D79">
            <w:pPr>
              <w:widowControl w:val="0"/>
              <w:numPr>
                <w:ilvl w:val="1"/>
                <w:numId w:val="1"/>
              </w:numPr>
              <w:spacing w:before="120" w:after="120" w:line="240" w:lineRule="auto"/>
              <w:ind w:left="313"/>
              <w:rPr>
                <w:rFonts w:ascii="Times New Roman" w:eastAsia="Calibri" w:hAnsi="Times New Roman" w:cs="Times New Roman"/>
                <w:b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18"/>
                <w:lang w:bidi="pl-PL"/>
              </w:rPr>
              <w:t xml:space="preserve"> Kryteria uniemożliwiające włączenie do programu</w:t>
            </w:r>
          </w:p>
          <w:p w14:paraId="2BA411D3" w14:textId="77777777" w:rsidR="00491560" w:rsidRPr="00BF25A1" w:rsidRDefault="000968B7" w:rsidP="00243D7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 w:right="200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n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adwrażliwość na substancję czynną lub którąkolwiek substancję pomocniczą</w:t>
            </w:r>
            <w:r w:rsidR="00B53A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;</w:t>
            </w:r>
          </w:p>
          <w:p w14:paraId="504C8306" w14:textId="77777777" w:rsidR="00491560" w:rsidRPr="005D2A3D" w:rsidRDefault="000968B7" w:rsidP="00243D7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 w:right="200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u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miarkowane lub ciężkie zaburzenia czynności wątroby (Klasa B lub C wg Child-Pugh);</w:t>
            </w:r>
          </w:p>
          <w:p w14:paraId="224B5FF0" w14:textId="77777777" w:rsidR="000968B7" w:rsidRPr="00243D79" w:rsidRDefault="000968B7" w:rsidP="00243D7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 w:right="200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a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ktywność aminotransferaz równa lub przekraczająca 2,5-krotną wartość górnego zakresu normy; </w:t>
            </w:r>
          </w:p>
          <w:p w14:paraId="40AC3D19" w14:textId="77777777" w:rsidR="00491560" w:rsidRPr="00BF25A1" w:rsidRDefault="00491560" w:rsidP="00243D7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 w:right="200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stężenie potasu poniżej dolnej granicy normy;</w:t>
            </w:r>
          </w:p>
          <w:p w14:paraId="2AB0C9CA" w14:textId="77777777" w:rsidR="00491560" w:rsidRPr="00BF25A1" w:rsidRDefault="000968B7" w:rsidP="00243D7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 w:right="200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w</w:t>
            </w:r>
            <w:r w:rsidR="00491560" w:rsidRPr="00F02EB5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cześniejsze stosowanie ketokonazolu z powodu raka </w:t>
            </w:r>
            <w:r w:rsidR="00491560"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  <w:t>gruczołu</w:t>
            </w:r>
            <w:r w:rsidR="00491560" w:rsidRPr="000968B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  <w:t xml:space="preserve"> </w:t>
            </w:r>
            <w:r w:rsidR="00491560" w:rsidRPr="000968B7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krokowego powyżej 7 dni;</w:t>
            </w:r>
          </w:p>
          <w:p w14:paraId="5B3A1ED3" w14:textId="77777777" w:rsidR="00B53AA1" w:rsidRPr="00243D79" w:rsidRDefault="000968B7" w:rsidP="00243D7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n</w:t>
            </w:r>
            <w:r w:rsidR="00491560"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iekontrolowane choroby układu sercowo-naczyniowego</w:t>
            </w:r>
            <w:r w:rsidR="00B53A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;</w:t>
            </w:r>
          </w:p>
          <w:p w14:paraId="5FBD79B0" w14:textId="77777777" w:rsidR="00491560" w:rsidRPr="00BF25A1" w:rsidRDefault="00491560" w:rsidP="00243D7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6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niekontrolowane nadciśnienie tętnicze;</w:t>
            </w:r>
          </w:p>
          <w:p w14:paraId="02F24A81" w14:textId="77777777" w:rsidR="00491560" w:rsidRPr="005D2A3D" w:rsidRDefault="000968B7" w:rsidP="00243D79">
            <w:pPr>
              <w:widowControl w:val="0"/>
              <w:numPr>
                <w:ilvl w:val="0"/>
                <w:numId w:val="4"/>
              </w:numPr>
              <w:spacing w:after="120" w:line="240" w:lineRule="auto"/>
              <w:ind w:left="596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r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ozpoznanie drobnokomórkowego raka stercza.</w:t>
            </w:r>
          </w:p>
          <w:p w14:paraId="2420EA1E" w14:textId="77777777" w:rsidR="00491560" w:rsidRPr="005D2A3D" w:rsidRDefault="00491560" w:rsidP="00243D79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313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 </w:t>
            </w:r>
            <w:r w:rsidRPr="005D2A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18"/>
                <w:lang w:bidi="pl-PL"/>
              </w:rPr>
              <w:t>Kryteria wyłączenia z programu</w:t>
            </w:r>
          </w:p>
          <w:p w14:paraId="1DC23DAC" w14:textId="77777777" w:rsidR="00491560" w:rsidRPr="00BF25A1" w:rsidRDefault="00B53AA1" w:rsidP="00243D7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171" w:right="200" w:firstLine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w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ystąpienie objawów nadwrażliwości na octan abirateronu lub 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którąkolwiek substancję pomocniczą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3FC49F84" w14:textId="77777777" w:rsidR="00491560" w:rsidRPr="005D2A3D" w:rsidRDefault="00B53AA1" w:rsidP="00243D7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171" w:right="200" w:firstLine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rogresja choroby w trakcie stosowania leku, definiowana według następujących kryteriów:</w:t>
            </w:r>
          </w:p>
          <w:p w14:paraId="75284EFC" w14:textId="77777777" w:rsidR="00491560" w:rsidRPr="005D2A3D" w:rsidRDefault="006A73A6" w:rsidP="00243D79">
            <w:pPr>
              <w:widowControl w:val="0"/>
              <w:numPr>
                <w:ilvl w:val="0"/>
                <w:numId w:val="6"/>
              </w:numPr>
              <w:tabs>
                <w:tab w:val="left" w:pos="875"/>
              </w:tabs>
              <w:spacing w:after="0" w:line="240" w:lineRule="auto"/>
              <w:ind w:right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491560"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ystąpienie łącznie przynajmniej 2 z 3 następujących rodzajów progresji:</w:t>
            </w:r>
          </w:p>
          <w:p w14:paraId="266B170E" w14:textId="77777777" w:rsidR="00491560" w:rsidRPr="005D2A3D" w:rsidRDefault="00491560" w:rsidP="00243D79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1021" w:right="200" w:hanging="42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sz w:val="20"/>
                <w:szCs w:val="20"/>
              </w:rPr>
              <w:t>progresja kliniczna:</w:t>
            </w:r>
          </w:p>
          <w:p w14:paraId="75603126" w14:textId="77777777" w:rsidR="007D6E02" w:rsidRDefault="00491560" w:rsidP="00243D79">
            <w:pPr>
              <w:widowControl w:val="0"/>
              <w:tabs>
                <w:tab w:val="left" w:pos="875"/>
              </w:tabs>
              <w:spacing w:after="0" w:line="240" w:lineRule="auto"/>
              <w:ind w:left="1175" w:right="200" w:hanging="154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- progresja bólu określona jako włączenie nowego opioidu na dłużej niż 2 tygodnie (nie dotyczy przypadków, gdy włączenie nowego opioidowego </w:t>
            </w: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lastRenderedPageBreak/>
              <w:t xml:space="preserve">leku przeciwbólowego nastąpiło z powodu działań niepożądanych wywołanych przez lek dotychczas stosowany) </w:t>
            </w:r>
          </w:p>
          <w:p w14:paraId="064A806F" w14:textId="77777777" w:rsidR="00491560" w:rsidRPr="00BF25A1" w:rsidRDefault="00491560" w:rsidP="00243D79">
            <w:pPr>
              <w:widowControl w:val="0"/>
              <w:tabs>
                <w:tab w:val="left" w:pos="875"/>
              </w:tabs>
              <w:spacing w:after="0" w:line="240" w:lineRule="auto"/>
              <w:ind w:left="1175" w:right="200" w:hanging="154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</w:p>
          <w:p w14:paraId="732DDF17" w14:textId="77777777" w:rsidR="007D6E02" w:rsidRDefault="00491560" w:rsidP="00243D79">
            <w:pPr>
              <w:widowControl w:val="0"/>
              <w:spacing w:after="0" w:line="240" w:lineRule="auto"/>
              <w:ind w:left="1175" w:right="300" w:hanging="15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- wystąpienie SRE </w:t>
            </w: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 xml:space="preserve">(skeletal related events </w:t>
            </w: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– zdarzeń kostnych) </w:t>
            </w:r>
          </w:p>
          <w:p w14:paraId="41D45B1C" w14:textId="77777777" w:rsidR="00491560" w:rsidRPr="00BF25A1" w:rsidRDefault="00491560" w:rsidP="00243D79">
            <w:pPr>
              <w:widowControl w:val="0"/>
              <w:spacing w:after="0" w:line="240" w:lineRule="auto"/>
              <w:ind w:left="1175" w:right="300" w:hanging="1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</w:p>
          <w:p w14:paraId="0AB80E6D" w14:textId="77777777" w:rsidR="00491560" w:rsidRPr="00BF25A1" w:rsidRDefault="00491560" w:rsidP="00243D79">
            <w:pPr>
              <w:widowControl w:val="0"/>
              <w:spacing w:after="0" w:line="240" w:lineRule="auto"/>
              <w:ind w:left="1175" w:right="300" w:hanging="1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- pogorszenie sprawności pacjenta (</w:t>
            </w:r>
            <w:r w:rsidRPr="00F02EB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wg 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Klasyfikacji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bidi="en-US"/>
              </w:rPr>
              <w:t xml:space="preserve">WHO)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 co najmniej stopnia 2, utrzymujące się min. 2 tygodnie</w:t>
            </w:r>
            <w:r w:rsidR="006A7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,</w:t>
            </w:r>
          </w:p>
          <w:p w14:paraId="520E297D" w14:textId="77777777" w:rsidR="00491560" w:rsidRPr="00BF25A1" w:rsidRDefault="00491560" w:rsidP="00243D79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1021" w:right="180" w:hanging="4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progresja PSA określona jako trzy kolejne wzrosty PSA, oznaczone w co najmniej tygodniowych odstępach, z udowodnionymi wzrostami o</w:t>
            </w:r>
            <w:r w:rsidRPr="006A7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co najmniej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50%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wobec wartości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wyjściowej,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przy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nominalnej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wartości stężenia PSA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&gt;2ng/ml</w:t>
            </w:r>
            <w:r w:rsidR="006A73A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,</w:t>
            </w:r>
          </w:p>
          <w:p w14:paraId="045A7B9A" w14:textId="77777777" w:rsidR="00491560" w:rsidRPr="00BF25A1" w:rsidRDefault="00491560" w:rsidP="00243D79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1021" w:right="180" w:hanging="4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progresja radiologiczna określona jako pojawienie się co najmniej d</w:t>
            </w:r>
            <w:r w:rsidRPr="006A7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wóch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nowych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ognisk, potwierdzona badaniem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obrazowym</w:t>
            </w:r>
          </w:p>
          <w:p w14:paraId="1E447899" w14:textId="77777777" w:rsidR="00491560" w:rsidRPr="00BF25A1" w:rsidRDefault="00491560" w:rsidP="00243D79">
            <w:pPr>
              <w:widowControl w:val="0"/>
              <w:spacing w:after="0" w:line="240" w:lineRule="auto"/>
              <w:ind w:left="1021" w:right="180" w:hanging="283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</w:pP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  <w:t>lub</w:t>
            </w:r>
          </w:p>
          <w:p w14:paraId="43D33B28" w14:textId="77777777" w:rsidR="00491560" w:rsidRPr="00BF25A1" w:rsidRDefault="006A73A6" w:rsidP="00243D79">
            <w:pPr>
              <w:widowControl w:val="0"/>
              <w:numPr>
                <w:ilvl w:val="0"/>
                <w:numId w:val="6"/>
              </w:numPr>
              <w:spacing w:after="120" w:line="240" w:lineRule="auto"/>
              <w:ind w:left="738" w:right="18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18"/>
              </w:rPr>
              <w:t>p</w:t>
            </w:r>
            <w:r w:rsidR="00491560" w:rsidRPr="00BF25A1">
              <w:rPr>
                <w:rFonts w:ascii="Times New Roman" w:eastAsia="Calibri" w:hAnsi="Times New Roman" w:cs="Times New Roman"/>
                <w:sz w:val="20"/>
                <w:szCs w:val="18"/>
              </w:rPr>
              <w:t>rogresja zgodnie z kryteriami RECIST</w:t>
            </w:r>
            <w:r w:rsidR="00A67592">
              <w:rPr>
                <w:rFonts w:ascii="Times New Roman" w:eastAsia="Calibri" w:hAnsi="Times New Roman" w:cs="Times New Roman"/>
                <w:sz w:val="20"/>
                <w:szCs w:val="18"/>
              </w:rPr>
              <w:t>;</w:t>
            </w:r>
          </w:p>
          <w:p w14:paraId="19914281" w14:textId="77777777" w:rsidR="00491560" w:rsidRPr="005D2A3D" w:rsidRDefault="006A73A6" w:rsidP="00243D79">
            <w:pPr>
              <w:widowControl w:val="0"/>
              <w:numPr>
                <w:ilvl w:val="0"/>
                <w:numId w:val="5"/>
              </w:numPr>
              <w:tabs>
                <w:tab w:val="left" w:pos="808"/>
              </w:tabs>
              <w:spacing w:after="0" w:line="240" w:lineRule="auto"/>
              <w:ind w:left="454" w:right="80" w:hanging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491560" w:rsidRPr="00BF25A1">
              <w:rPr>
                <w:rFonts w:ascii="Times New Roman" w:eastAsia="Calibri" w:hAnsi="Times New Roman" w:cs="Times New Roman"/>
                <w:sz w:val="20"/>
                <w:szCs w:val="20"/>
              </w:rPr>
              <w:t>ystąpienie działań niepożądanych uniemożliwiających kontynuację leczenia zgodnie z wytycznymi</w:t>
            </w:r>
            <w:r w:rsidR="00491560" w:rsidRPr="005D2A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zawartymi w charakterystyce produktu leczniczego;</w:t>
            </w:r>
          </w:p>
          <w:p w14:paraId="74B10196" w14:textId="77777777" w:rsidR="00491560" w:rsidRPr="00BF25A1" w:rsidRDefault="006A73A6" w:rsidP="00243D79">
            <w:pPr>
              <w:widowControl w:val="0"/>
              <w:numPr>
                <w:ilvl w:val="0"/>
                <w:numId w:val="5"/>
              </w:numPr>
              <w:tabs>
                <w:tab w:val="left" w:pos="808"/>
              </w:tabs>
              <w:spacing w:after="0" w:line="240" w:lineRule="auto"/>
              <w:ind w:left="454" w:right="80" w:hanging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="00491560" w:rsidRPr="00BF25A1">
              <w:rPr>
                <w:rFonts w:ascii="Times New Roman" w:eastAsia="Calibri" w:hAnsi="Times New Roman" w:cs="Times New Roman"/>
                <w:sz w:val="20"/>
                <w:szCs w:val="20"/>
              </w:rPr>
              <w:t>ezygnacja świadczeniobiorcy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4596D692" w14:textId="77777777" w:rsidR="00491560" w:rsidRPr="005D2A3D" w:rsidRDefault="00491560" w:rsidP="00243D79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octanem abirateronu</w:t>
            </w:r>
          </w:p>
          <w:p w14:paraId="46B27B47" w14:textId="77777777" w:rsidR="00491560" w:rsidRPr="005D2A3D" w:rsidRDefault="00150FCF" w:rsidP="005B6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2.1. </w:t>
            </w:r>
            <w:r w:rsidR="00491560"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Kryteria kwalifikacji </w:t>
            </w:r>
          </w:p>
          <w:p w14:paraId="48301D46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 leczenia octanem abirateronu w ramach programu kwalifikują się chorzy na raka gruczołu krokowego:</w:t>
            </w:r>
          </w:p>
          <w:p w14:paraId="78DFCF08" w14:textId="77777777" w:rsidR="00491560" w:rsidRPr="005D2A3D" w:rsidRDefault="00612863" w:rsidP="00BF25A1">
            <w:pPr>
              <w:widowControl w:val="0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3" w:hanging="310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r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ozpoznanego histologicznie (dopuszczalne kwalifikowanie chorych, u których rozpoznanie ustalono w przeszłości cytologicznie, kiedy histologiczne badanie nie było standardem postępowania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 diagnostycznego);</w:t>
            </w:r>
          </w:p>
          <w:p w14:paraId="3D16667C" w14:textId="19775AA7" w:rsidR="00491560" w:rsidRPr="005D2A3D" w:rsidRDefault="00612863" w:rsidP="00BF25A1">
            <w:pPr>
              <w:numPr>
                <w:ilvl w:val="1"/>
                <w:numId w:val="9"/>
              </w:numPr>
              <w:spacing w:after="0" w:line="240" w:lineRule="auto"/>
              <w:ind w:left="313" w:hanging="31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1560" w:rsidRPr="00BF25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stadium oporności na kastrację, </w:t>
            </w:r>
            <w:r w:rsidR="00491560" w:rsidRPr="00BF25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określonym na podstawie oznaczenia stężenia testosteronu w surowicy wynoszącego 50 ng/dl lub mniej (tj. wynoszącego 1,7 nmol/l lub mniej), u chorych z progresją choroby ocenioną wg kryteriów w pkt 3</w:t>
            </w:r>
            <w:r w:rsidR="00DA2F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poniżej</w:t>
            </w:r>
            <w:r w:rsidR="00491560" w:rsidRPr="00BF25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</w:t>
            </w:r>
            <w:r w:rsidR="00491560" w:rsidRPr="005D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F667133" w14:textId="77777777" w:rsidR="00491560" w:rsidRPr="005D2A3D" w:rsidRDefault="00612863" w:rsidP="00BF25A1">
            <w:pPr>
              <w:numPr>
                <w:ilvl w:val="1"/>
                <w:numId w:val="9"/>
              </w:numPr>
              <w:spacing w:after="0" w:line="240" w:lineRule="auto"/>
              <w:ind w:left="313" w:hanging="31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</w:t>
            </w:r>
            <w:r w:rsidR="00491560" w:rsidRPr="00BF25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progresją choroby w trakcie lub po chemioterapii z udziałem docetakselu, określoną na podstawie:</w:t>
            </w:r>
          </w:p>
          <w:p w14:paraId="38117650" w14:textId="77777777" w:rsidR="00491560" w:rsidRPr="005D2A3D" w:rsidRDefault="0049156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trzech kolejnych wzrostów stężenia PSA, oznaczonego w co najmniej tygodniowych odstępach, z udowodnionymi dwoma wzrostami o 50% wobec wartości wyjściowej (nadir), przy nominalnej wartości stężenia PSA &gt;2 ng/ml lub </w:t>
            </w:r>
          </w:p>
          <w:p w14:paraId="10F4AB2A" w14:textId="77777777" w:rsidR="00491560" w:rsidRPr="005D2A3D" w:rsidRDefault="0049156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 objawów progresji zmian (układ kostny, narządy wewnętrzne, tkanki miękkie) w badaniach obrazowych;</w:t>
            </w:r>
          </w:p>
          <w:p w14:paraId="15572468" w14:textId="77777777" w:rsidR="00491560" w:rsidRPr="00BF25A1" w:rsidRDefault="00612863">
            <w:pPr>
              <w:numPr>
                <w:ilvl w:val="1"/>
                <w:numId w:val="9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1560" w:rsidRPr="00BF25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stanie sprawności 0-1 według klasyfikacji WHO;</w:t>
            </w:r>
          </w:p>
          <w:p w14:paraId="4B1C5B75" w14:textId="77777777" w:rsidR="00491560" w:rsidRPr="00BF25A1" w:rsidRDefault="00612863">
            <w:pPr>
              <w:numPr>
                <w:ilvl w:val="1"/>
                <w:numId w:val="9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1560" w:rsidRPr="00BF25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wieku powyżej 18. roku życia.</w:t>
            </w:r>
          </w:p>
          <w:p w14:paraId="19ED81C1" w14:textId="77777777" w:rsidR="00491560" w:rsidRDefault="00491560" w:rsidP="00243D7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E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Kryteria kwalifikacji muszą być spełnione łącznie. </w:t>
            </w:r>
          </w:p>
          <w:p w14:paraId="30DB8CD5" w14:textId="364B5948" w:rsidR="00DD5AB4" w:rsidRPr="00F02EB5" w:rsidRDefault="00DD5AB4" w:rsidP="00474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Do programu kwalifikowani są również pacjenci dotychczas leczeni z zastosowaniem octanu abirateronu w ramach świadczenia chemioterapii niestandardowej, pod warunkiem, że zostali zakwalifikowani do leczenia w ramach chemioterapii niestandardowej przed 1 stycznia 2014 r. oraz przed rozpoczęciem leczenia nie spełniali kryteriów wyłączenia z programu.</w:t>
            </w:r>
          </w:p>
          <w:p w14:paraId="47979251" w14:textId="77777777" w:rsidR="00491560" w:rsidRPr="00BF25A1" w:rsidRDefault="00491560" w:rsidP="00243D79">
            <w:pPr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Określenie czasu leczenia w programie</w:t>
            </w:r>
          </w:p>
          <w:p w14:paraId="1CD51906" w14:textId="77777777" w:rsidR="00491560" w:rsidRPr="005D2A3D" w:rsidRDefault="00491560" w:rsidP="0024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E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Leczenie trwa do czasu podjęcia przez lekarza prowadzącego decyzji o wyłączeniu świadczeniobiorcy z programu, zgodnie z kryteriami wyłączenia z programu. </w:t>
            </w:r>
          </w:p>
          <w:p w14:paraId="362DCEBA" w14:textId="77777777" w:rsidR="00491560" w:rsidRPr="005D2A3D" w:rsidRDefault="00491560" w:rsidP="00243D79">
            <w:pPr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uniemożliwiające włączenie do programu</w:t>
            </w:r>
          </w:p>
          <w:p w14:paraId="16607D5B" w14:textId="77777777" w:rsidR="00491560" w:rsidRPr="00BF25A1" w:rsidRDefault="00BC5824" w:rsidP="00BF25A1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80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adwrażliwość na substancję czynną lub którąkolwiek substancję pomocniczą;</w:t>
            </w:r>
          </w:p>
          <w:p w14:paraId="0EB5BFFD" w14:textId="77777777" w:rsidR="00491560" w:rsidRPr="005D2A3D" w:rsidRDefault="00BC5824" w:rsidP="00BF25A1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miarkowane lub ciężkie zaburzenia czynności wątroby (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lasa B lub C wg Child-Pugh);</w:t>
            </w:r>
          </w:p>
          <w:p w14:paraId="6D92FBAA" w14:textId="77777777" w:rsidR="00491560" w:rsidRPr="005D2A3D" w:rsidRDefault="00BC5824" w:rsidP="00BF25A1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ktywność aminotransferaz równa lub przekraczająca 2,5-krotną wartość górnego zakresu normy;</w:t>
            </w:r>
          </w:p>
          <w:p w14:paraId="3ACD8FC9" w14:textId="77777777" w:rsidR="00491560" w:rsidRPr="00BF25A1" w:rsidRDefault="00BC5824" w:rsidP="00F02EB5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cześniejsze stosowanie ketokonazolu z powodu raka gruczołu krokowego;</w:t>
            </w:r>
          </w:p>
          <w:p w14:paraId="7B11E290" w14:textId="77777777" w:rsidR="00491560" w:rsidRPr="00BF25A1" w:rsidRDefault="00BC5824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iekontrolowane choroby układu sercowo-naczyniowego;</w:t>
            </w:r>
          </w:p>
          <w:p w14:paraId="782DB8A1" w14:textId="77777777" w:rsidR="00491560" w:rsidRPr="00BF25A1" w:rsidRDefault="00BC5824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cześniejsze leczenie enzalutamidem lub octanem abirateronu.</w:t>
            </w:r>
          </w:p>
          <w:p w14:paraId="0D10DE52" w14:textId="77777777" w:rsidR="00491560" w:rsidRPr="005D2A3D" w:rsidRDefault="00491560">
            <w:pPr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wyłączenia z programu</w:t>
            </w:r>
          </w:p>
          <w:p w14:paraId="5B2D9D92" w14:textId="77777777" w:rsidR="00491560" w:rsidRPr="005D2A3D" w:rsidRDefault="00BC5824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2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ystąpienie objawów nadwrażliwości na octan abirateronu lub 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którąkolwiek substancję pomocniczą;</w:t>
            </w:r>
          </w:p>
          <w:p w14:paraId="0002C335" w14:textId="77777777" w:rsidR="00491560" w:rsidRPr="005D2A3D" w:rsidRDefault="00BC5824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2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rogresja choroby w trakcie stosowania leku, definiowana według następujących kryteriów:</w:t>
            </w:r>
          </w:p>
          <w:p w14:paraId="05078194" w14:textId="77777777" w:rsidR="00491560" w:rsidRPr="005D2A3D" w:rsidRDefault="00B2245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8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ystąpienie łącznie przynajmniej 2 z 3 następujących rodzajów progresji:</w:t>
            </w:r>
          </w:p>
          <w:p w14:paraId="0C02BC86" w14:textId="77777777" w:rsidR="00491560" w:rsidRPr="005D2A3D" w:rsidRDefault="0049156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880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kliniczna:</w:t>
            </w:r>
          </w:p>
          <w:p w14:paraId="60071300" w14:textId="77777777" w:rsidR="00B2245C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- progresja bólu określona jako włączenie nowego opioidu na dłużej niż 2 tygodnie (nie dotyczy przypadków, gdy włączenie nowego opioidowego leku przeciwbólowego nastąpiło z powodu działań niepożądanych wywołanych przez lek dotychczas stosowany) </w:t>
            </w:r>
          </w:p>
          <w:p w14:paraId="0A70E232" w14:textId="77777777" w:rsidR="00491560" w:rsidRPr="00BF25A1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27A24C3E" w14:textId="77777777" w:rsidR="00B2245C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- wystąpienie SRE (skeletal related events - zdarzeń kostnych) </w:t>
            </w:r>
          </w:p>
          <w:p w14:paraId="1853A338" w14:textId="77777777" w:rsidR="00491560" w:rsidRPr="00BF25A1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5BA953C3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- utrzymujące się min. 2 tygodnie pogorszenie sprawności pacjenta do co najmniej stopnia 2 (wg klasyfikacji WHO);</w:t>
            </w:r>
          </w:p>
          <w:p w14:paraId="09FF576E" w14:textId="77777777" w:rsidR="00491560" w:rsidRPr="005D2A3D" w:rsidRDefault="00491560" w:rsidP="00BF25A1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879" w:hanging="357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PSA określona jako trzy kolejne wzrosty PSA, oznaczone w co najmniej tygodniowych odstępach, z udowodnionymi wzrostami o co najmniej 50% wobec wartości wyjściowej, przy nominalnej wartości stężenia PSA &gt;2ng/ml,</w:t>
            </w:r>
          </w:p>
          <w:p w14:paraId="23C9C68B" w14:textId="77777777" w:rsidR="00491560" w:rsidRPr="005D2A3D" w:rsidRDefault="0049156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879" w:hanging="357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radiologiczna określona jako pojawienie się co najmniej dwóch nowych ognisk, potwierdzona badaniem obrazowym,</w:t>
            </w:r>
          </w:p>
          <w:p w14:paraId="0ED28316" w14:textId="77777777" w:rsidR="00491560" w:rsidRPr="005D2A3D" w:rsidRDefault="00491560" w:rsidP="00243D79">
            <w:pPr>
              <w:spacing w:after="120" w:line="240" w:lineRule="auto"/>
              <w:ind w:left="880" w:hanging="425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3CFBAC7F" w14:textId="77777777" w:rsidR="00491560" w:rsidRPr="00BF25A1" w:rsidRDefault="00E95ADB" w:rsidP="00BF25A1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rogresja zgodnie z kryteriami RECIST;</w:t>
            </w:r>
          </w:p>
          <w:p w14:paraId="1E15653F" w14:textId="77777777" w:rsidR="00491560" w:rsidRPr="005D2A3D" w:rsidRDefault="00E95ADB" w:rsidP="00BF25A1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ystąpienie działań niepożądanych uniemożliwiających kontynuację leczenia zgodnie z wytycznymi zawartymi w charakterystyce produktu leczniczego;</w:t>
            </w:r>
          </w:p>
          <w:p w14:paraId="35D9E4F3" w14:textId="77777777" w:rsidR="00491560" w:rsidRPr="00BF25A1" w:rsidRDefault="00E95ADB" w:rsidP="00243D79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120" w:line="240" w:lineRule="auto"/>
              <w:ind w:left="312" w:hanging="357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ezygnacja świadczeniobiorcy.</w:t>
            </w:r>
          </w:p>
          <w:p w14:paraId="03310790" w14:textId="77777777" w:rsidR="00491560" w:rsidRPr="00F02EB5" w:rsidRDefault="00491560" w:rsidP="00243D79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240" w:after="120" w:line="240" w:lineRule="auto"/>
              <w:ind w:left="357" w:hanging="357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F02EB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enzalutamidem</w:t>
            </w:r>
          </w:p>
          <w:p w14:paraId="0AFBC528" w14:textId="77777777" w:rsidR="00491560" w:rsidRPr="005D2A3D" w:rsidRDefault="00491560" w:rsidP="00BF25A1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Kryteria </w:t>
            </w:r>
            <w:r w:rsidR="006A2F7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kwalifikacji</w:t>
            </w:r>
          </w:p>
          <w:p w14:paraId="77C73897" w14:textId="77777777" w:rsidR="00491560" w:rsidRPr="005D2A3D" w:rsidRDefault="005C650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iek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: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5D2A3D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18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lat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i powyżej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0D2FE5F" w14:textId="77777777" w:rsidR="00491560" w:rsidRPr="005D2A3D" w:rsidRDefault="0049156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rozpoznanie histologiczne raka gruczołu krokowego;</w:t>
            </w:r>
          </w:p>
          <w:p w14:paraId="29754114" w14:textId="77777777" w:rsidR="00491560" w:rsidRPr="005D2A3D" w:rsidRDefault="0049156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stadium oporności na kastrację (stężenie testosteronu w surowicy wynoszące poniżej 50 ng/dl, tj. wynoszące mniej niż 1,7 nmol/l);</w:t>
            </w:r>
          </w:p>
          <w:p w14:paraId="124E6972" w14:textId="77777777" w:rsidR="00491560" w:rsidRPr="005D2A3D" w:rsidRDefault="0049156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 sprawności 0-1 według ECOG;</w:t>
            </w:r>
          </w:p>
          <w:p w14:paraId="652FF156" w14:textId="77777777" w:rsidR="00491560" w:rsidRPr="005D2A3D" w:rsidRDefault="0049156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choroby podczas lub po zakończeniu leczenia z udziałem docetakselu,  definiowana jako spełnienie co najmniej jednego spośród trzech poniższych kryteriów, określonych w lit. a-c:</w:t>
            </w:r>
          </w:p>
          <w:p w14:paraId="7B4A4F8C" w14:textId="77777777" w:rsidR="00491560" w:rsidRPr="005D2A3D" w:rsidRDefault="00491560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880" w:hanging="2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wzrastające wartości PSA w trzech kolejnych badaniach wykonywanych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 co najmniej tygodniowych odstępach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 Minimalny wzrost stężenia PSA wynosi przynajmniej 50% w stosunku do wartości wyjściowej wynoszącej  &gt;2 ng/ml,</w:t>
            </w:r>
          </w:p>
          <w:p w14:paraId="6CDAAFDC" w14:textId="77777777" w:rsidR="00491560" w:rsidRPr="005D2A3D" w:rsidRDefault="00491560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880" w:hanging="2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 tkankach miękkich ocenianych wg kryteriów RECIST,</w:t>
            </w:r>
          </w:p>
          <w:p w14:paraId="1C996A75" w14:textId="77777777" w:rsidR="00491560" w:rsidRPr="005D2A3D" w:rsidRDefault="00491560">
            <w:pPr>
              <w:numPr>
                <w:ilvl w:val="1"/>
                <w:numId w:val="18"/>
              </w:numPr>
              <w:autoSpaceDN w:val="0"/>
              <w:spacing w:after="0" w:line="240" w:lineRule="auto"/>
              <w:ind w:left="880" w:hanging="2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 kościach definiowanych jako co najmniej dwie nowe zmiany w badaniach obrazowych kości wg Prostate Cancer Working Group 2 (</w:t>
            </w:r>
            <w:r w:rsidR="00CD3CB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ojawienie się co najmniej 2 nowych ognisk wzmożonego wychwytu w scyntygrafii kości).</w:t>
            </w:r>
          </w:p>
          <w:p w14:paraId="4495D4C2" w14:textId="77777777" w:rsidR="00491560" w:rsidRPr="00243D79" w:rsidRDefault="00491560" w:rsidP="00243D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430FF08A" w14:textId="77777777" w:rsidR="00491560" w:rsidRPr="00F02EB5" w:rsidRDefault="00491560" w:rsidP="00243D79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uniemożliwiające włączenie do programu</w:t>
            </w:r>
          </w:p>
          <w:p w14:paraId="558BC4B5" w14:textId="77777777" w:rsidR="00491560" w:rsidRPr="005D2A3D" w:rsidRDefault="00491560" w:rsidP="00BF25A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nadwrażliwość na enzalutamid lub którąkolwiek substancję pomocniczą;</w:t>
            </w:r>
          </w:p>
          <w:p w14:paraId="6E064724" w14:textId="77777777" w:rsidR="00491560" w:rsidRPr="005D2A3D" w:rsidRDefault="0049156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ciężka niewydolność nerek, ciężka niewydolność wątroby (klasa C wg skali Child – Pugh);</w:t>
            </w:r>
          </w:p>
          <w:p w14:paraId="01E425CB" w14:textId="77777777" w:rsidR="00491560" w:rsidRPr="005D2A3D" w:rsidRDefault="0049156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choroby układu sercowo-naczyniowego: zawał mięśnia sercowego przebyty wciągu ostatnich 6 miesięcy lub niestabilna dusznica bolesna (w ostatnich 3 miesiącach)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niewydolność serca klasy III lub IV według NYHA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istotne i niekontrolowane zaburzenia rytmu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przewodnictwa serca (w tym QTcF &gt; 470 ms)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nieleczone albo niepoddające się leczeniu znaczne nadciśnienie tętnicze;</w:t>
            </w:r>
          </w:p>
          <w:p w14:paraId="288A9E03" w14:textId="77777777" w:rsidR="00491560" w:rsidRPr="005D2A3D" w:rsidRDefault="0049156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dziedziczna nietolerancja fruktozy;</w:t>
            </w:r>
          </w:p>
          <w:p w14:paraId="68DC9495" w14:textId="77777777" w:rsidR="00491560" w:rsidRPr="005D2A3D" w:rsidRDefault="0049156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wcześniejsze leczenie enzalutamidem lub octanem abirateronu;</w:t>
            </w:r>
          </w:p>
          <w:p w14:paraId="713D1183" w14:textId="77777777" w:rsidR="00491560" w:rsidRPr="005D2A3D" w:rsidRDefault="0049156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napady padaczkowe w wywiadzie lub inne opisane w wywiadzie czynniki predysponujące do ich wystąpienia.</w:t>
            </w:r>
          </w:p>
          <w:p w14:paraId="4ED5B252" w14:textId="77777777" w:rsidR="00491560" w:rsidRPr="005D2A3D" w:rsidRDefault="00491560" w:rsidP="00243D79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Określenie czasu leczenia w programie</w:t>
            </w:r>
          </w:p>
          <w:p w14:paraId="7726C4A2" w14:textId="77777777" w:rsidR="00491560" w:rsidRPr="005D2A3D" w:rsidRDefault="00491560" w:rsidP="00243D7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Leczenie trwa do czasu podjęcia przez lekarza prowadzącego decyzji o zakończeniu leczenia świadczeniobiorcy w programie, zgodnie z kryteriami wyłączenia z programu.</w:t>
            </w:r>
          </w:p>
          <w:p w14:paraId="25527AAE" w14:textId="77777777" w:rsidR="00491560" w:rsidRPr="005D2A3D" w:rsidRDefault="00491560" w:rsidP="0036594A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wyłączenia z programu</w:t>
            </w:r>
          </w:p>
          <w:p w14:paraId="68393A8D" w14:textId="77777777" w:rsidR="00491560" w:rsidRPr="005D2A3D" w:rsidRDefault="004915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choroby w trakcie stosowania enzalutamidu  zdefiniowana jako spełnienie co najmniej jednego spośród trzech poniższych kryteriów, podanych w punktach a - c:</w:t>
            </w:r>
          </w:p>
          <w:p w14:paraId="76882F27" w14:textId="77777777" w:rsidR="00491560" w:rsidRPr="005D2A3D" w:rsidRDefault="00491560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1021" w:hanging="283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wzrastające wartości PSA w trzech kolejnych badaniach wykonywanych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 co najmniej tygodniowych odstępach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 Minimalny wzrost stężenia PSA wynosi przynajmniej 50% w stosunku do nadiru i wynosi w wartościach bezwzględnych przynajmniej 5 ng/ml,</w:t>
            </w:r>
          </w:p>
          <w:p w14:paraId="6185D5A4" w14:textId="77777777" w:rsidR="00491560" w:rsidRPr="005D2A3D" w:rsidRDefault="00491560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1021" w:hanging="283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 tkankach miękkich ocenianych wg kryteriów RECIST,</w:t>
            </w:r>
          </w:p>
          <w:p w14:paraId="6661D2C3" w14:textId="77777777" w:rsidR="00491560" w:rsidRPr="005D2A3D" w:rsidRDefault="00491560">
            <w:pPr>
              <w:numPr>
                <w:ilvl w:val="1"/>
                <w:numId w:val="21"/>
              </w:numPr>
              <w:autoSpaceDN w:val="0"/>
              <w:spacing w:after="0" w:line="240" w:lineRule="auto"/>
              <w:ind w:left="1021" w:hanging="283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 kościach definiowanych jako co najmniej dwie nowe zmiany w badaniach obrazowych kości wg Prostate Cancer Working Group 2 (</w:t>
            </w:r>
            <w:r w:rsidR="00CD3CB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ojawienie się co najmniej 2 nowych ognisk wzmożonego wychwytu w scyntygrafii kości; w przypadku ich stwierdzenia w pierwszym badaniu w trakcie leczenia dodatkowo konieczne jest stwierdzenie co najmniej 2 kolejnych nowych ognisk w kolejnej scyntygrafii wykonanej po co najmnie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 6 tygodniach.);</w:t>
            </w:r>
          </w:p>
          <w:p w14:paraId="51DF690B" w14:textId="77777777" w:rsidR="00491560" w:rsidRPr="005D2A3D" w:rsidRDefault="004915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nadwrażliwości na enzalutamid lub którąkolwiek substancję pomocniczą;</w:t>
            </w:r>
          </w:p>
          <w:p w14:paraId="02CD9B8C" w14:textId="77777777" w:rsidR="00491560" w:rsidRPr="005D2A3D" w:rsidRDefault="004915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działań niepożądanych uniemożliwiających kontynuację leczenia zgodnie z zaleceniami zawartymi w </w:t>
            </w:r>
            <w:r w:rsidR="00A4563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harakterystyce </w:t>
            </w:r>
            <w:r w:rsidR="00A4563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roduktu </w:t>
            </w:r>
            <w:r w:rsidR="00A4563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eczniczego;</w:t>
            </w:r>
          </w:p>
          <w:p w14:paraId="24D50774" w14:textId="77777777" w:rsidR="00491560" w:rsidRPr="005D2A3D" w:rsidRDefault="004915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rezygnacja świadczeniobiorcy.</w:t>
            </w:r>
          </w:p>
          <w:p w14:paraId="1B8BAC76" w14:textId="77777777" w:rsidR="00491560" w:rsidRPr="005D2A3D" w:rsidRDefault="00491560" w:rsidP="00243D7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dichlorkiem radu Ra-223</w:t>
            </w:r>
          </w:p>
          <w:p w14:paraId="5863E1A3" w14:textId="77777777" w:rsidR="00491560" w:rsidRPr="005D2A3D" w:rsidRDefault="00491560" w:rsidP="00243D79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kwalifikacji</w:t>
            </w:r>
          </w:p>
          <w:p w14:paraId="0AD421F4" w14:textId="77777777" w:rsidR="00491560" w:rsidRPr="005D2A3D" w:rsidRDefault="00491560" w:rsidP="00BF25A1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histologiczne lub cytologiczne rozpoznanie raka gruczołu krokowego;</w:t>
            </w:r>
          </w:p>
          <w:p w14:paraId="07274B29" w14:textId="77777777" w:rsidR="00491560" w:rsidRPr="005D2A3D" w:rsidRDefault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kastracyjne stężenie testosteronu (poniżej 50 ng/dl) pomimo prowadzonego farmakologicznego leczenia kastracyjnego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(farmakologiczne leczenie kastracyjne powinno być kontynuowane) </w:t>
            </w:r>
          </w:p>
          <w:p w14:paraId="097B1C3F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52F740C7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 wykonanej kastracji chirurgicznej;</w:t>
            </w:r>
          </w:p>
          <w:p w14:paraId="727CEC5B" w14:textId="77777777" w:rsidR="00491560" w:rsidRPr="005D2A3D" w:rsidRDefault="00491560" w:rsidP="00BF25A1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nowotworu definiowana jako:</w:t>
            </w:r>
          </w:p>
          <w:p w14:paraId="3D8445A3" w14:textId="77777777" w:rsidR="00491560" w:rsidRPr="005D2A3D" w:rsidRDefault="0049156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wzrost stężenia PSA w kolejnych 3 badaniach wykonanych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 co najmniej tygodniowych odstępach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w tym co najmniej dwoma wzrostami o 50% wobec wartości wyjściowej, która musi wynosić powyżej 5 ng/ml </w:t>
            </w:r>
          </w:p>
          <w:p w14:paraId="16704B52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6D0638BE" w14:textId="77777777" w:rsidR="00491560" w:rsidRPr="005D2A3D" w:rsidRDefault="00491560" w:rsidP="00BF25A1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 badaniach obrazowych;</w:t>
            </w:r>
          </w:p>
          <w:p w14:paraId="22BBB475" w14:textId="77777777" w:rsidR="00491560" w:rsidRPr="005D2A3D" w:rsidRDefault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potwierdzenie w badaniu scyntygraficznym obecności co najmniej 6 przerzutów do kości;</w:t>
            </w:r>
          </w:p>
          <w:p w14:paraId="1606A17B" w14:textId="77777777" w:rsidR="00491560" w:rsidRPr="005D2A3D" w:rsidRDefault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bóle kostne wymagające stałego stosowania leków przeciwbólowych lub paliatywnej radioterapii w okresie nie więcej niż 12 tygodni przed rozpoczęciem leczenia;</w:t>
            </w:r>
          </w:p>
          <w:p w14:paraId="176DAF46" w14:textId="77777777" w:rsidR="00491560" w:rsidRPr="005D2A3D" w:rsidRDefault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brak przerzutów do narządów trzewnych z wyjątkiem  przerzutów do węzłów chłonnych miednicy o wymiarze mniejszym lub równym 2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cm w osi krótkiej;</w:t>
            </w:r>
          </w:p>
          <w:p w14:paraId="65E9BDC2" w14:textId="77777777" w:rsidR="00491560" w:rsidRPr="005D2A3D" w:rsidRDefault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leczenie docetakselem ukończone co najmniej 4 tygodnie przed rozpoczęciem leczenia radem-223 lub </w:t>
            </w:r>
          </w:p>
          <w:p w14:paraId="5321B78F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 udokumentowanych przeciwwskazań do zastosowania docetakselu;</w:t>
            </w:r>
          </w:p>
          <w:p w14:paraId="4F8BBAFF" w14:textId="77777777" w:rsidR="00491560" w:rsidRPr="005D2A3D" w:rsidRDefault="00491560" w:rsidP="00BF25A1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 sprawności ogólnej 0-2 według ECOG;</w:t>
            </w:r>
          </w:p>
          <w:p w14:paraId="3E919E81" w14:textId="77777777" w:rsidR="00491560" w:rsidRPr="005D2A3D" w:rsidRDefault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wiek pacjenta: 18 lat i powyżej;</w:t>
            </w:r>
          </w:p>
          <w:p w14:paraId="737A9AD8" w14:textId="77777777" w:rsidR="00491560" w:rsidRPr="005D2A3D" w:rsidRDefault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wyniki badania morfologii krwi z rozmazem:</w:t>
            </w:r>
          </w:p>
          <w:p w14:paraId="41934475" w14:textId="77777777" w:rsidR="00491560" w:rsidRPr="005D2A3D" w:rsidRDefault="00491560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021" w:hanging="21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liczba płytek krwi większa lub równa 1,0 x 10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5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/mm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3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49B61D3C" w14:textId="77777777" w:rsidR="00491560" w:rsidRPr="005D2A3D" w:rsidRDefault="00491560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021" w:hanging="21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bezwzględna liczba neutrofilów większa lub równa 1500/mm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3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6A8C73BE" w14:textId="77777777" w:rsidR="00491560" w:rsidRPr="005D2A3D" w:rsidRDefault="00491560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021" w:hanging="21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hemoglobiny większe lub równe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10,0 g/dl;</w:t>
            </w:r>
          </w:p>
          <w:p w14:paraId="29411DE9" w14:textId="77777777" w:rsidR="00491560" w:rsidRPr="005D2A3D" w:rsidRDefault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bilirubiny mniejsze lub równe 1,5 GGN;</w:t>
            </w:r>
          </w:p>
          <w:p w14:paraId="42253DF9" w14:textId="77777777" w:rsidR="00491560" w:rsidRPr="005D2A3D" w:rsidRDefault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aktywność AspAT i AlAT mniejsze lub równe 2,5 GGN;</w:t>
            </w:r>
          </w:p>
          <w:p w14:paraId="29C75A7E" w14:textId="77777777" w:rsidR="00491560" w:rsidRPr="005D2A3D" w:rsidRDefault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kreatyniny mniejsze lub równe 1,5 GGN;</w:t>
            </w:r>
          </w:p>
          <w:p w14:paraId="5FE74FDD" w14:textId="77777777" w:rsidR="00491560" w:rsidRDefault="00491560" w:rsidP="004E0F5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 w:line="240" w:lineRule="auto"/>
              <w:ind w:left="595" w:hanging="357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oczekiwany czas przeżycia dłuższy niż 6 miesięcy.</w:t>
            </w:r>
          </w:p>
          <w:p w14:paraId="47EFC50D" w14:textId="77777777" w:rsidR="006A2F7B" w:rsidRDefault="006A2F7B" w:rsidP="00243D7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Kryteria kwalifikacji muszą być spełnione łącznie.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4674F8D" w14:textId="77777777" w:rsidR="00491560" w:rsidRPr="00BF25A1" w:rsidRDefault="00491560" w:rsidP="00243D79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Określenie czasu leczenia w programie</w:t>
            </w:r>
          </w:p>
          <w:p w14:paraId="1A63A72C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F02EB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Leczenie w programie obejmuje 6 podań leku wykonywanych w odstępach 4 tygodni, chyba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że w oparciu o kryteria zakończenia udziału w programie, </w:t>
            </w:r>
            <w:r w:rsidR="005C650C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określon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</w:t>
            </w:r>
            <w:r w:rsidR="005C650C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pkt 4.4.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zostanie podjęta decyzja o wyłączeniu pacjenta z programu.</w:t>
            </w:r>
          </w:p>
          <w:p w14:paraId="7C10F961" w14:textId="77777777" w:rsidR="00491560" w:rsidRPr="005D2A3D" w:rsidRDefault="00491560" w:rsidP="00243D79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uniemożliwiające włączenie do programu</w:t>
            </w:r>
          </w:p>
          <w:p w14:paraId="323BF97F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 programu nie kwalifikuje się pacjentów w przypadku wystąpienia co najmniej jednego z poniższych kryteriów:</w:t>
            </w:r>
          </w:p>
          <w:p w14:paraId="41DF4F55" w14:textId="77777777" w:rsidR="00491560" w:rsidRPr="005D2A3D" w:rsidRDefault="00491560" w:rsidP="00BF25A1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współistnienie innego aktywnego nowotworu złośliwego (z wyjątkiem raka podstawnokomórkowego skóry) </w:t>
            </w:r>
          </w:p>
          <w:p w14:paraId="2EF353AF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 wcześniejsze zachorowanie na jakikolwiek nowotwór złośliwy, o ile leczenie nie miało charakteru radykalnego lub miało charakter radykalny, ale nie uzyskano całkowitej remisji;</w:t>
            </w:r>
          </w:p>
          <w:p w14:paraId="47DE3851" w14:textId="77777777" w:rsidR="00491560" w:rsidRPr="005D2A3D" w:rsidRDefault="00491560" w:rsidP="00BF25A1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istotnych klinicznie działań niepożądanych spowodowanych chemioterapią, które nie ustępują w ciągu 4 tygodni od przerwania leczenia (z wyjątkiem utrzymującej się neuropatii);</w:t>
            </w:r>
          </w:p>
          <w:p w14:paraId="332349CD" w14:textId="77777777" w:rsidR="00491560" w:rsidRPr="005D2A3D" w:rsidRDefault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 z zastosowaniem strontu-89, samaru-153, renu-186 lub renu-188 w okresie 24 tygodni przed rozpoczęciem leczenia w ramach tego programu;</w:t>
            </w:r>
          </w:p>
          <w:p w14:paraId="6BD31729" w14:textId="77777777" w:rsidR="00491560" w:rsidRPr="005D2A3D" w:rsidRDefault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kompresja rdzenia kręgowego potwierdzona badaniem klinicznym lub badaniem rezonansu magnetycznego, wymagająca zaopatrzenia miejscowego lub radioterapii (leczenie dichlorkiem radu Ra-223 może zostać podjęte po skutecznym zakończeniu leczenia miejscowego);</w:t>
            </w:r>
          </w:p>
          <w:p w14:paraId="1C2C69FF" w14:textId="77777777" w:rsidR="00491560" w:rsidRPr="005D2A3D" w:rsidRDefault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 przerzutów do mózgu  niekontrolowanych leczeniem miejscowym;</w:t>
            </w:r>
          </w:p>
          <w:p w14:paraId="6EEB16E7" w14:textId="77777777" w:rsidR="00491560" w:rsidRPr="005D2A3D" w:rsidRDefault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 co najmniej jednego z następujących schorzeń współistniejących:</w:t>
            </w:r>
          </w:p>
          <w:p w14:paraId="4BDA8FC2" w14:textId="77777777" w:rsidR="00491560" w:rsidRPr="005D2A3D" w:rsidRDefault="00491560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880" w:hanging="219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niekontrolowana infekcja,</w:t>
            </w:r>
          </w:p>
          <w:p w14:paraId="1AC9D86D" w14:textId="77777777" w:rsidR="00491560" w:rsidRPr="005D2A3D" w:rsidRDefault="00491560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880" w:hanging="219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niewydolność serca w stopniu III lub IV NYHA, </w:t>
            </w:r>
          </w:p>
          <w:p w14:paraId="4C8083FF" w14:textId="77777777" w:rsidR="00491560" w:rsidRPr="005D2A3D" w:rsidRDefault="00491560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880" w:hanging="219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choroba Crohna lub wrzodziejące zapalenie jelita grubego, </w:t>
            </w:r>
          </w:p>
          <w:p w14:paraId="7954A287" w14:textId="77777777" w:rsidR="00491560" w:rsidRPr="005D2A3D" w:rsidRDefault="00491560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880" w:hanging="219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mielodysplazja szpiku;</w:t>
            </w:r>
          </w:p>
          <w:p w14:paraId="3EEC0D87" w14:textId="77777777" w:rsidR="00491560" w:rsidRPr="005D2A3D" w:rsidRDefault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niepoddające się leczeniu nietrzymanie kału;</w:t>
            </w:r>
          </w:p>
          <w:p w14:paraId="00CFD0E2" w14:textId="77777777" w:rsidR="00491560" w:rsidRPr="005D2A3D" w:rsidRDefault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3" w:hanging="357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 jakichkolwiek innych stanów lub schorzeń, które w opinii lekarza mogą stanowić przeciwwskazanie do zastosowania dichlorku radu Ra-223.</w:t>
            </w:r>
          </w:p>
          <w:p w14:paraId="3F8D239A" w14:textId="77777777" w:rsidR="00491560" w:rsidRPr="005D2A3D" w:rsidRDefault="00491560" w:rsidP="00243D79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lastRenderedPageBreak/>
              <w:t>Kryteria zakończenia udziału w programie</w:t>
            </w:r>
          </w:p>
          <w:p w14:paraId="249B98F3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Leczenie pacjenta w programie zostaje zakończone</w:t>
            </w:r>
            <w:r w:rsidR="00CD3CB7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</w:t>
            </w:r>
            <w:r w:rsidRPr="00BF25A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jeżeli w trakcie tego leczenia wystąpi co najmniej jedno z następujących kryteriów: </w:t>
            </w:r>
          </w:p>
          <w:p w14:paraId="00476498" w14:textId="77777777" w:rsidR="00491560" w:rsidRPr="005D2A3D" w:rsidRDefault="00491560" w:rsidP="00BF25A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nieakceptowalnej toksyczności hematologicznej tj. neutropenii lub trombocytopenii w stopniu 3 lub 4 wg CTC, utrzymujące się pomimo podjętego leczenia objawowego przez okres powyżej 14 dni </w:t>
            </w:r>
          </w:p>
          <w:p w14:paraId="4DEAC52E" w14:textId="77777777" w:rsidR="00CD3CB7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429B44C3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utrzymywanie się pomimo podjętego leczenia objawowego innej toksyczności w stopniu 4 wg CTC przez okres powyżej 7 dni; </w:t>
            </w:r>
          </w:p>
          <w:p w14:paraId="59A9C6E7" w14:textId="77777777" w:rsidR="00491560" w:rsidRPr="005D2A3D" w:rsidRDefault="00491560" w:rsidP="00BF25A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rozpoczęcie nowego leczenia z zastosowaniem innego preparatu radioizotopowego</w:t>
            </w:r>
          </w:p>
          <w:p w14:paraId="6140727E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- z wyjątkiem zastosowania radioterapii paliatywnej na pojedyncze ogniska przerzutowe;</w:t>
            </w:r>
          </w:p>
          <w:p w14:paraId="00753F2B" w14:textId="77777777" w:rsidR="00491560" w:rsidRPr="005D2A3D" w:rsidRDefault="00491560" w:rsidP="00BF25A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pogorszenie stanu sprawności ogólnej o co najmniej 2 stopnie wg ECOG w stosunku do wartości wyjściowej;</w:t>
            </w:r>
          </w:p>
          <w:p w14:paraId="2D04FD9C" w14:textId="77777777" w:rsidR="00491560" w:rsidRPr="005D2A3D" w:rsidRDefault="004915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PSA rozumiana jako postępujące zwiększenie stężenia PSA w kolejnych 3 badaniach wykonanych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 co najmniej tygodniowych odstępach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z co najmniej dwoma wzrostami o 50% wobec wartości wyjściowej, która musi być większa 5 ng/ml;</w:t>
            </w:r>
          </w:p>
          <w:p w14:paraId="33820ADD" w14:textId="77777777" w:rsidR="00491560" w:rsidRPr="005D2A3D" w:rsidRDefault="004915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niepoddające się leczeniu nietrzymanie kału;</w:t>
            </w:r>
          </w:p>
          <w:p w14:paraId="1EE78050" w14:textId="77777777" w:rsidR="00491560" w:rsidRDefault="004915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kompresja rdzenia kręgowego potwierdzona badaniem klinicznym lub badaniem rezonansu magnetycznego, która nie może zostać zaopatrzona miejscowo lub której zaopatrzenie wymagałoby opóźnienia podania kolejnej dawki leku o więcej niż 4 tygodnie;</w:t>
            </w:r>
          </w:p>
          <w:p w14:paraId="32324BDA" w14:textId="77777777" w:rsidR="00491560" w:rsidRPr="00CD3CB7" w:rsidRDefault="00491560" w:rsidP="00243D7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jakiekolwiek inne poważne schorzenie, które w opinii lekarza prowadzącego uniemożliwia kontynuację leczenia dichlorkiem radu Ra-223.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B0AA" w14:textId="77777777" w:rsidR="00491560" w:rsidRPr="005D2A3D" w:rsidRDefault="00491560" w:rsidP="00243D79">
            <w:pPr>
              <w:widowControl w:val="0"/>
              <w:numPr>
                <w:ilvl w:val="1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 xml:space="preserve">Dawkowanie w leczeniu opornego na kastrację raka gruczołu krokowego octanem abirateronu </w:t>
            </w: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 stosowaniem chemioterapii</w:t>
            </w:r>
          </w:p>
          <w:p w14:paraId="394A505F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Zalecana dawka octanu abirateronu wynosi 1000 mg i jest stosowana jednorazowo co 24 godziny. Leku nie wolno przyjmować razem z pokarmem (przyjmowanie leku z pokarmem zwiększa całkowite narażenie organizmu na abirateron).</w:t>
            </w:r>
            <w:bookmarkStart w:id="0" w:name="_GoBack"/>
            <w:bookmarkEnd w:id="0"/>
          </w:p>
          <w:p w14:paraId="72FA302A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Octan abirateronu należy przyjmować w skojarzeniu z małą dawką prednizonu lub prednizolonu. Zalecana dawka prednizonu lub prednizolonu wynosi 10 mg na dobę.</w:t>
            </w:r>
          </w:p>
          <w:p w14:paraId="0316AB6E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 chorych, którzy nie byli uprzednio poddani orchidektomii, w trakcie leczenia abirateronem należy  utrzymać supresję androgenową, z zastosowaniem agonistów LHRH.</w:t>
            </w:r>
          </w:p>
          <w:p w14:paraId="17BB4B4B" w14:textId="57A7B880" w:rsidR="00491560" w:rsidRPr="005D2A3D" w:rsidRDefault="00491560" w:rsidP="00243D7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Dopuszczalne są modyfikacje dawkowania w sytuacjach i w zakresie wskazanym w</w:t>
            </w:r>
            <w:r w:rsidR="007A3CB3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 </w:t>
            </w:r>
            <w:r w:rsidR="00A4563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</w:t>
            </w:r>
            <w:r w:rsidR="00A4563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harakterystyce </w:t>
            </w:r>
            <w:r w:rsidR="00A4563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</w:t>
            </w:r>
            <w:r w:rsidR="00A4563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roduktu </w:t>
            </w:r>
            <w:r w:rsidR="00A4563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l</w:t>
            </w:r>
            <w:r w:rsidR="00A4563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eczniczego</w:t>
            </w: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  <w:p w14:paraId="074435CC" w14:textId="77777777" w:rsidR="00491560" w:rsidRPr="005D2A3D" w:rsidRDefault="00491560" w:rsidP="00243D79">
            <w:pPr>
              <w:widowControl w:val="0"/>
              <w:numPr>
                <w:ilvl w:val="1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16" w:hanging="284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Dawkowanie w leczeniu opornego na kastrację raka gruczołu krokowego octanem abirateronu</w:t>
            </w:r>
          </w:p>
          <w:p w14:paraId="5ED08A68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Zalecana dawka octanu abirateronu wynosi 1000 mg i jest stosowana jednorazowo co 24 godziny. Leku nie wolno przyjmować razem z pokarmem (przyjmowanie leku z pokarmem zwiększa całkowite narażenie organizmu na abirateron).</w:t>
            </w:r>
          </w:p>
          <w:p w14:paraId="015A9393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Octan abirateronu należy przyjmować w skojarzeniu z małą dawką prednizonu lub prednizolonu. Zalecana dawka prednizonu lub prednizolonu wynosi 10 mg na dobę.</w:t>
            </w:r>
          </w:p>
          <w:p w14:paraId="0ADC0F13" w14:textId="77777777" w:rsidR="00491560" w:rsidRPr="005D2A3D" w:rsidRDefault="00491560" w:rsidP="00243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 chorych, którzy nie byli uprzednio poddani orchidektomii, w trakcie leczenia abirateronem należy  utrzymać supresję androgenową, z zastosowaniem agonistów LHRH.</w:t>
            </w:r>
          </w:p>
          <w:p w14:paraId="373B06DF" w14:textId="77777777" w:rsidR="00491560" w:rsidRPr="005D2A3D" w:rsidRDefault="00491560" w:rsidP="00243D7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Dopuszczalne są modyfikacje dawkowania w sytuacjach i w zakresie wskazanym w charakterystyce produktu leczniczego.</w:t>
            </w:r>
          </w:p>
          <w:p w14:paraId="6E837C7A" w14:textId="77777777" w:rsidR="00491560" w:rsidRPr="005D2A3D" w:rsidRDefault="00491560" w:rsidP="00A45630">
            <w:pPr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Dawkowanie w leczeniu opornego na kastrację raka gruczołu krokowego enzalutamidem</w:t>
            </w:r>
          </w:p>
          <w:p w14:paraId="454B4636" w14:textId="77777777" w:rsidR="00491560" w:rsidRPr="005D2A3D" w:rsidRDefault="00491560" w:rsidP="00243D7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Zalecana dawka enzalutamidu to 160 mg (cztery kapsułki po 40 mg) w jednorazowej dawce dobowej. Kapsułki należy połykać w całości popijając wodą niezależnie od posiłku.</w:t>
            </w:r>
          </w:p>
          <w:p w14:paraId="73D1630D" w14:textId="77777777" w:rsidR="00491560" w:rsidRPr="005D2A3D" w:rsidRDefault="00491560" w:rsidP="00243D7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pominięcia przyjęcia leku o zwykłej porze, przepisaną dawkę należy przyjąć tak szybko jak to możliwe.</w:t>
            </w:r>
          </w:p>
          <w:p w14:paraId="42D1D6F8" w14:textId="77777777" w:rsidR="00491560" w:rsidRPr="005D2A3D" w:rsidRDefault="00491560" w:rsidP="00243D7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pominięcia dawki w danym dniu, leczenie należy wznowić następnego dnia przyjmując zazwyczaj stosowaną dawkę dobową.</w:t>
            </w:r>
          </w:p>
          <w:p w14:paraId="0730BBA5" w14:textId="77777777" w:rsidR="00491560" w:rsidRPr="005D2A3D" w:rsidRDefault="00491560" w:rsidP="00243D7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Jeśli u pacjenta wystąpią objawy toksyczności stopnia ≥ 3 lub inne działania </w:t>
            </w: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niepożądane, należy przerwać stosowanie produktu na tydzień lub do czasu zmniejszenia objawów do stopnia ≤ 2. Maksymalna przerwa w podawaniu leku nie może być dłuższa niż 8 tygodni. Następnie należy wznowić stosowanie leku w tej samej lub, jeżeli jest to uzasadnione, zmniejszonej dawce (120 mg lub 80 mg).</w:t>
            </w:r>
          </w:p>
          <w:p w14:paraId="739B4A5B" w14:textId="77777777" w:rsidR="00491560" w:rsidRPr="005D2A3D" w:rsidRDefault="00491560" w:rsidP="00243D7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U chorych nie poddanych obustronnej orchiektomii należy kontynuować terapię farmakologiczną, której celem jest uzyskanie kastracji.</w:t>
            </w:r>
          </w:p>
          <w:p w14:paraId="278085B6" w14:textId="77777777" w:rsidR="00491560" w:rsidRPr="005D2A3D" w:rsidRDefault="00491560" w:rsidP="00243D79">
            <w:pPr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Dawkowanie w leczeniu opornego na kastrację raka gruczołu krokowego </w:t>
            </w: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dichlorkiem radu Ra-223</w:t>
            </w:r>
          </w:p>
          <w:p w14:paraId="08966C50" w14:textId="77777777" w:rsidR="00491560" w:rsidRPr="005D2A3D" w:rsidRDefault="00491560" w:rsidP="00BF25A1">
            <w:pPr>
              <w:widowControl w:val="0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 xml:space="preserve">Lek jest podawany we wstrzyknięciach dożylnych w dawce 55 kBq/kg mc. </w:t>
            </w:r>
          </w:p>
          <w:p w14:paraId="0DC600B3" w14:textId="77777777" w:rsidR="00491560" w:rsidRPr="005D2A3D" w:rsidRDefault="00491560">
            <w:pPr>
              <w:widowControl w:val="0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>Dawka leku nie może być modyfikowana.</w:t>
            </w:r>
          </w:p>
          <w:p w14:paraId="00157905" w14:textId="77777777" w:rsidR="00491560" w:rsidRPr="005D2A3D" w:rsidRDefault="00491560">
            <w:pPr>
              <w:widowControl w:val="0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>W przypadku wystąpienia działań niepożądanych kolejna dawka leku może być podana z opóźnieniem, jednak nie może ono wynieść więcej niż 4 tygodnie.</w:t>
            </w:r>
          </w:p>
          <w:p w14:paraId="52D06BD0" w14:textId="77777777" w:rsidR="00491560" w:rsidRPr="005D2A3D" w:rsidRDefault="00491560">
            <w:pPr>
              <w:numPr>
                <w:ilvl w:val="1"/>
                <w:numId w:val="28"/>
              </w:numPr>
              <w:autoSpaceDN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>Warunkiem podania kolejnej dawki leku w przypadku, o którym mowa powyżej (w pkt 4.3.) jest:</w:t>
            </w:r>
          </w:p>
          <w:p w14:paraId="20C4F0D8" w14:textId="77777777" w:rsidR="00491560" w:rsidRPr="005D2A3D" w:rsidRDefault="00491560">
            <w:pPr>
              <w:numPr>
                <w:ilvl w:val="0"/>
                <w:numId w:val="29"/>
              </w:numPr>
              <w:autoSpaceDN w:val="0"/>
              <w:spacing w:after="0" w:line="240" w:lineRule="auto"/>
              <w:ind w:left="316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>w przypadku hematotoksyczności: działanie powinno zmniejszyć się co najmniej do stopnia 2 wg CTC;</w:t>
            </w:r>
          </w:p>
          <w:p w14:paraId="3E584D42" w14:textId="77777777" w:rsidR="00491560" w:rsidRPr="005D2A3D" w:rsidRDefault="00491560">
            <w:pPr>
              <w:numPr>
                <w:ilvl w:val="0"/>
                <w:numId w:val="29"/>
              </w:numPr>
              <w:autoSpaceDN w:val="0"/>
              <w:spacing w:after="0" w:line="240" w:lineRule="auto"/>
              <w:ind w:left="316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>w przypadku toksyczności innych niż hematologiczne: działanie powinno zmniejszyć się do stopnia 2 wg CTC w przypadku działań żołądkowo-jelitowych lub stopnia 3 wg CTC w przypadku pozostałych działań;</w:t>
            </w:r>
          </w:p>
          <w:p w14:paraId="5C98BF0E" w14:textId="77777777" w:rsidR="00491560" w:rsidRPr="005D2A3D" w:rsidRDefault="00491560">
            <w:pPr>
              <w:numPr>
                <w:ilvl w:val="0"/>
                <w:numId w:val="29"/>
              </w:numPr>
              <w:autoSpaceDN w:val="0"/>
              <w:spacing w:after="0" w:line="240" w:lineRule="auto"/>
              <w:ind w:left="316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lastRenderedPageBreak/>
              <w:t xml:space="preserve">w przypadku kompresji rdzenia kręgowego, do której dojdzie w trakcie leczenia, stosowanie leku może być kontynuowane, jeżeli zaopatrzenie pacjenta nie spowoduje opóźnienia podania kolejnej dawki leku o więcej niż 4 tygodnie; </w:t>
            </w:r>
          </w:p>
          <w:p w14:paraId="6AE6735F" w14:textId="77777777" w:rsidR="00491560" w:rsidRPr="005D2A3D" w:rsidRDefault="00491560">
            <w:pPr>
              <w:numPr>
                <w:ilvl w:val="0"/>
                <w:numId w:val="29"/>
              </w:numPr>
              <w:autoSpaceDN w:val="0"/>
              <w:spacing w:after="0" w:line="240" w:lineRule="auto"/>
              <w:ind w:left="316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>w przypadku złamania kostnego, do którego dojdzie w trakcie leczenia, podanie kolejnej dawki leku powinno odbyć się w okresie od 2 do 4 tygodni po dokonaniu się złamania.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E3F2" w14:textId="77777777" w:rsidR="00491560" w:rsidRPr="005D2A3D" w:rsidRDefault="00491560" w:rsidP="00243D79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Leczenie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opornego na kastrację raka gruczołu krokowego octanem abirateronu </w:t>
            </w: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 stosowaniem chemioterapii</w:t>
            </w:r>
          </w:p>
          <w:p w14:paraId="59098C0F" w14:textId="77777777" w:rsidR="00491560" w:rsidRPr="005D2A3D" w:rsidRDefault="00491560" w:rsidP="00243D79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17" w:hanging="357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Badania przy kwalifikacji</w:t>
            </w:r>
          </w:p>
          <w:p w14:paraId="5E4F10C9" w14:textId="77777777" w:rsidR="00491560" w:rsidRPr="00243D79" w:rsidRDefault="004A2684" w:rsidP="00243D79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458" w:right="20" w:hanging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h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istologicznie potwierdzone rozpoznanie raka gruczołu krokowego;</w:t>
            </w:r>
          </w:p>
          <w:p w14:paraId="1A43DA18" w14:textId="77777777" w:rsidR="00491560" w:rsidRPr="00243D79" w:rsidRDefault="004A2684" w:rsidP="00243D79">
            <w:pPr>
              <w:widowControl w:val="0"/>
              <w:numPr>
                <w:ilvl w:val="0"/>
                <w:numId w:val="31"/>
              </w:numPr>
              <w:tabs>
                <w:tab w:val="left" w:pos="600"/>
              </w:tabs>
              <w:spacing w:after="0" w:line="240" w:lineRule="auto"/>
              <w:ind w:left="458" w:right="1020" w:hanging="3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cena aktywności aminotransferaz w surowicy oraz innych wskaźników koniecznych do określenia kat. niewydolności wątroby wg Child</w:t>
            </w:r>
            <w:r w:rsidR="00953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-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Pugh przed rozpoczęciem leczenia;</w:t>
            </w:r>
          </w:p>
          <w:p w14:paraId="381293D9" w14:textId="77777777" w:rsidR="00491560" w:rsidRPr="00243D79" w:rsidRDefault="004A2684" w:rsidP="00243D79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458" w:right="1020" w:hanging="3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cyntygrafia kośćca (jeżeli nie była wykonana wcześniej);</w:t>
            </w:r>
          </w:p>
          <w:p w14:paraId="3BBED076" w14:textId="77777777" w:rsidR="00491560" w:rsidRDefault="004A2684" w:rsidP="00243D79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458" w:right="1020" w:hanging="3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brazowanie (rentgenografia lub tomografia komputerowa</w:t>
            </w:r>
            <w:r w:rsidR="006B2EA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,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rezonans magnetyczny) w zależności od sytuacji klinicznej;</w:t>
            </w:r>
          </w:p>
          <w:p w14:paraId="22501689" w14:textId="77777777" w:rsidR="00491560" w:rsidRPr="00F02EB5" w:rsidRDefault="004A2684" w:rsidP="00243D79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458" w:right="1020" w:hanging="360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</w:t>
            </w:r>
            <w:r w:rsidRPr="005D2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znaczenie stężenia PSA i testosteronu.</w:t>
            </w:r>
          </w:p>
          <w:p w14:paraId="757D4D2C" w14:textId="77777777" w:rsidR="00491560" w:rsidRPr="000968B7" w:rsidRDefault="00491560" w:rsidP="00243D79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453" w:hanging="357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968B7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leczenia</w:t>
            </w:r>
          </w:p>
          <w:p w14:paraId="63069528" w14:textId="77777777" w:rsidR="00491560" w:rsidRPr="00BF25A1" w:rsidRDefault="00491560" w:rsidP="0024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Zawsze w przypadku wskazań klinicznych:</w:t>
            </w:r>
          </w:p>
          <w:p w14:paraId="0E950942" w14:textId="77777777" w:rsidR="00491560" w:rsidRPr="006B2EA2" w:rsidRDefault="006B2EA2" w:rsidP="00BF25A1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znaczenie stężenia </w:t>
            </w:r>
            <w:r w:rsidR="00491560" w:rsidRPr="006B2EA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PSA co 3 miesiące;</w:t>
            </w:r>
          </w:p>
          <w:p w14:paraId="0690E7C5" w14:textId="77777777" w:rsidR="00491560" w:rsidRPr="00243D79" w:rsidRDefault="006B2EA2" w:rsidP="00243D79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458" w:right="5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brazowanie w zależności od badania wykonanego przy kwalifikacji;</w:t>
            </w:r>
          </w:p>
          <w:p w14:paraId="00182C4A" w14:textId="77777777" w:rsidR="00491560" w:rsidRPr="000968B7" w:rsidRDefault="006B2EA2" w:rsidP="00BF25A1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cena aktywności aminotransferaz w surowicy co dwa tygodnie przez</w:t>
            </w:r>
            <w:r w:rsidR="00491560" w:rsidRPr="005D2A3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pierwsze trzy miesiące leczenia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  <w:r w:rsidR="00491560" w:rsidRPr="005D2A3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a następnie co miesiąc;</w:t>
            </w:r>
          </w:p>
          <w:p w14:paraId="3A67BD71" w14:textId="77777777" w:rsidR="00491560" w:rsidRPr="000968B7" w:rsidRDefault="006B2EA2" w:rsidP="00BF25A1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i</w:t>
            </w:r>
            <w:r w:rsidR="00491560" w:rsidRPr="000968B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nne badania w zależności od sytuacji klinicznej;</w:t>
            </w:r>
          </w:p>
          <w:p w14:paraId="38DB787C" w14:textId="77777777" w:rsidR="00491560" w:rsidRPr="005D2A3D" w:rsidRDefault="006B2EA2" w:rsidP="00BF25A1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s</w:t>
            </w:r>
            <w:r w:rsidR="00491560" w:rsidRPr="00BF25A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cyntygrafia po 6 miesiącach od włączania do programu lub wcześniej, w przypadku stwierdzenia progresji klinicznej, na podstawie kryteriów zawartych w kryteriach progresji.</w:t>
            </w:r>
          </w:p>
          <w:p w14:paraId="56AA0BC1" w14:textId="77777777" w:rsidR="00491560" w:rsidRPr="005D2A3D" w:rsidRDefault="00491560" w:rsidP="00243D79">
            <w:pPr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octanem abirateronu</w:t>
            </w:r>
          </w:p>
          <w:p w14:paraId="5491DBBB" w14:textId="77777777" w:rsidR="00491560" w:rsidRPr="005D2A3D" w:rsidRDefault="00491560" w:rsidP="00243D79">
            <w:pPr>
              <w:widowControl w:val="0"/>
              <w:numPr>
                <w:ilvl w:val="1"/>
                <w:numId w:val="30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Badania przy kwalifikacji</w:t>
            </w:r>
          </w:p>
          <w:p w14:paraId="7AA76EFF" w14:textId="77777777" w:rsidR="00491560" w:rsidRPr="005D2A3D" w:rsidRDefault="006B2EA2" w:rsidP="00BF25A1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istologicznie lub cytologicznie potwierdzone rozpoznanie raka gruczołu krokowego;</w:t>
            </w:r>
          </w:p>
          <w:p w14:paraId="045A1338" w14:textId="77777777" w:rsidR="00491560" w:rsidRPr="005D2A3D" w:rsidRDefault="006B2EA2" w:rsidP="00BF25A1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cena aktywności aminotransferaz w surowicy oraz innych wskaźników koniecznych do określenia kat. niewydolności wątroby wg Child Pugh przed rozpoczęciem leczenia;</w:t>
            </w:r>
          </w:p>
          <w:p w14:paraId="0E9FF216" w14:textId="77777777" w:rsidR="00491560" w:rsidRPr="00BF25A1" w:rsidRDefault="006B2EA2" w:rsidP="00BF25A1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cyntygrafia kośćca (jeżeli nie była wykonana wcześniej);</w:t>
            </w:r>
          </w:p>
          <w:p w14:paraId="2916E5F3" w14:textId="77777777" w:rsidR="00491560" w:rsidRPr="005D2A3D" w:rsidRDefault="006B2EA2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brazowanie (rentgenografia lub tomografia komputerowa lub rezonans magnetyczny) w zależności od sytuacji klinicznej;</w:t>
            </w:r>
          </w:p>
          <w:p w14:paraId="6E805857" w14:textId="77777777" w:rsidR="00491560" w:rsidRPr="00BF25A1" w:rsidRDefault="006B2EA2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znaczenie stężenia PSA.</w:t>
            </w:r>
          </w:p>
          <w:p w14:paraId="4CCA033B" w14:textId="77777777" w:rsidR="00491560" w:rsidRPr="00F02EB5" w:rsidRDefault="00491560" w:rsidP="00243D79">
            <w:pPr>
              <w:widowControl w:val="0"/>
              <w:numPr>
                <w:ilvl w:val="1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F02EB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Monitorowanie leczenia</w:t>
            </w:r>
          </w:p>
          <w:p w14:paraId="7CEAD18F" w14:textId="77777777" w:rsidR="00491560" w:rsidRPr="00243D79" w:rsidRDefault="00491560" w:rsidP="00243D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243D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Zawsze w przypadku wskazań klinicznych</w:t>
            </w: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:</w:t>
            </w:r>
          </w:p>
          <w:p w14:paraId="57766710" w14:textId="77777777" w:rsidR="00491560" w:rsidRPr="00BF25A1" w:rsidRDefault="006B2EA2" w:rsidP="00BF25A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znaczenie stężenia PSA co 3 miesiące;</w:t>
            </w:r>
          </w:p>
          <w:p w14:paraId="745CC46D" w14:textId="77777777" w:rsidR="00491560" w:rsidRPr="00BF25A1" w:rsidRDefault="006B2EA2" w:rsidP="00BF25A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brazowanie w zależności od badania wykonanego przy kwalifikacji;</w:t>
            </w:r>
          </w:p>
          <w:p w14:paraId="25E86DDB" w14:textId="77777777" w:rsidR="00491560" w:rsidRPr="005D2A3D" w:rsidRDefault="006B2EA2" w:rsidP="00BF25A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cena aktywności aminotransferaz w surowicy co dwa tygodnie przez pierwsze trzy miesiące leczenia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 następnie co miesiąc;</w:t>
            </w:r>
          </w:p>
          <w:p w14:paraId="60CB1F88" w14:textId="77777777" w:rsidR="00491560" w:rsidRPr="00F02EB5" w:rsidRDefault="006B2EA2" w:rsidP="00F02EB5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nne badania w zależności od sytuacji klinicznej;</w:t>
            </w:r>
          </w:p>
          <w:p w14:paraId="6B858E5A" w14:textId="77777777" w:rsidR="00491560" w:rsidRPr="005D2A3D" w:rsidRDefault="006B2EA2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3" w:hanging="357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cyntygrafia po 6 miesiącach od włączenia do programu lub w przypadku stwierdzenia progresji klinicznej, na podstawie kryteriów zawartych w kryteriach progresji.</w:t>
            </w:r>
          </w:p>
          <w:p w14:paraId="7DB30CC0" w14:textId="77777777" w:rsidR="00491560" w:rsidRPr="005D2A3D" w:rsidRDefault="00491560" w:rsidP="00243D79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enzalutamidem</w:t>
            </w:r>
          </w:p>
          <w:p w14:paraId="58FD1DE8" w14:textId="77777777" w:rsidR="00491560" w:rsidRPr="005D2A3D" w:rsidRDefault="00491560" w:rsidP="00243D79">
            <w:pPr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51" w:hanging="357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lastRenderedPageBreak/>
              <w:t>Badania przy kwalifikacji</w:t>
            </w:r>
          </w:p>
          <w:p w14:paraId="01712660" w14:textId="77777777" w:rsidR="00491560" w:rsidRPr="005D2A3D" w:rsidRDefault="00491560" w:rsidP="00BF25A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histologiczne  potwierdzenie rozpoznania raka gruczołu krokowego</w:t>
            </w: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;</w:t>
            </w:r>
          </w:p>
          <w:p w14:paraId="6CD9E339" w14:textId="77777777" w:rsidR="00491560" w:rsidRPr="005D2A3D" w:rsidRDefault="0049156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aktywności AlAT, AspAT i stężenia bilirubiny w surowicy, albumin, INR, oznaczenie stężenia wapnia w surowicy;</w:t>
            </w:r>
          </w:p>
          <w:p w14:paraId="7DEF044E" w14:textId="77777777" w:rsidR="00491560" w:rsidRPr="005D2A3D" w:rsidRDefault="0049156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kreatyniny;</w:t>
            </w:r>
          </w:p>
          <w:p w14:paraId="558520CA" w14:textId="77777777" w:rsidR="00491560" w:rsidRPr="005D2A3D" w:rsidRDefault="0049156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testosteronu;</w:t>
            </w:r>
          </w:p>
          <w:p w14:paraId="6F47DA58" w14:textId="77777777" w:rsidR="00491560" w:rsidRPr="005D2A3D" w:rsidRDefault="0049156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PSA;</w:t>
            </w:r>
          </w:p>
          <w:p w14:paraId="32905090" w14:textId="77777777" w:rsidR="00491560" w:rsidRPr="005D2A3D" w:rsidRDefault="0049156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scyntygrafia kośćca (jeżeli nie była wykonywana w ciągu ostatnich 6 miesięcy);</w:t>
            </w:r>
          </w:p>
          <w:p w14:paraId="656F820C" w14:textId="77777777" w:rsidR="00491560" w:rsidRPr="005D2A3D" w:rsidRDefault="0049156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badania obrazowe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(tomografia komputerowa lub rezonans magnetyczny)</w:t>
            </w: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: klatki piersiowej, jamy brzusznej i miednicy. </w:t>
            </w:r>
          </w:p>
          <w:p w14:paraId="01DCE91E" w14:textId="77777777" w:rsidR="00491560" w:rsidRPr="005D2A3D" w:rsidRDefault="00491560" w:rsidP="00243D79">
            <w:pPr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51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leczenia</w:t>
            </w:r>
          </w:p>
          <w:p w14:paraId="12E7E6D0" w14:textId="77777777" w:rsidR="00491560" w:rsidRPr="005D2A3D" w:rsidRDefault="00491560" w:rsidP="00BF25A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ocena stanu klinicznego;</w:t>
            </w:r>
          </w:p>
          <w:p w14:paraId="658E74E8" w14:textId="77777777" w:rsidR="00491560" w:rsidRPr="005D2A3D" w:rsidRDefault="0049156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badanie poziomu testosteronu co 3 miesiące;</w:t>
            </w:r>
          </w:p>
          <w:p w14:paraId="2527D3BB" w14:textId="77777777" w:rsidR="00491560" w:rsidRPr="005D2A3D" w:rsidRDefault="0049156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PSA co 3 miesiące, w przypadku zwiększenia stężenia, kolejne oznaczenia PSA w celu wykluczenia progresji biochemicznej wykonywać co 28-30 dni;</w:t>
            </w:r>
          </w:p>
          <w:p w14:paraId="03F2728C" w14:textId="77777777" w:rsidR="00491560" w:rsidRPr="005D2A3D" w:rsidRDefault="0049156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scyntygrafia nie rzadziej niż co 6 miesięcy lub w przypadku wskazań klinicznych (w przypadku podejrzenia progresji w postaci nowych ognisk stwierdzanych w pierwszym badaniu w trakcie leczenia konieczne jest wykonanie badania kontrolnego po kolejnych </w:t>
            </w:r>
            <w:r w:rsidRPr="005D2A3D">
              <w:rPr>
                <w:rFonts w:ascii="Times New Roman" w:eastAsia="SimSun" w:hAnsi="Times New Roman" w:cs="Times New Roman" w:hint="eastAsia"/>
                <w:bCs/>
                <w:sz w:val="20"/>
                <w:szCs w:val="20"/>
                <w:lang w:eastAsia="zh-CN"/>
              </w:rPr>
              <w:t>≥</w:t>
            </w:r>
            <w:r w:rsidRPr="005D2A3D">
              <w:rPr>
                <w:rFonts w:ascii="Times New Roman" w:eastAsia="SimSun" w:hAnsi="Times New Roman" w:cs="Times New Roman" w:hint="eastAsia"/>
                <w:bCs/>
                <w:sz w:val="20"/>
                <w:szCs w:val="20"/>
                <w:lang w:eastAsia="zh-CN"/>
              </w:rPr>
              <w:t>6</w:t>
            </w: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tygodniach);</w:t>
            </w:r>
          </w:p>
          <w:p w14:paraId="07210E86" w14:textId="77777777" w:rsidR="00491560" w:rsidRPr="005D2A3D" w:rsidRDefault="0049156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inne badania w zależności od sytuacji klinicznej i wyjściowej lokalizacji przerzutów, badania oceniające odpowiedź wg RECIST (z wyjątkiem scyntygrafii kości) powinny być wykonywane nie rzadziej niż co 3 miesiące.</w:t>
            </w:r>
          </w:p>
          <w:p w14:paraId="1A36DDDC" w14:textId="77777777" w:rsidR="00491560" w:rsidRPr="005D2A3D" w:rsidRDefault="00491560" w:rsidP="00243D79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dichlorkiem radu Ra-223</w:t>
            </w:r>
          </w:p>
          <w:p w14:paraId="45E9F6B8" w14:textId="77777777" w:rsidR="00491560" w:rsidRPr="005D2A3D" w:rsidRDefault="00491560" w:rsidP="00243D79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Badania przy kwalifikacji </w:t>
            </w:r>
          </w:p>
          <w:p w14:paraId="3BAADAB8" w14:textId="77777777" w:rsidR="00491560" w:rsidRPr="005D2A3D" w:rsidRDefault="006B2EA2" w:rsidP="00BF25A1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lastRenderedPageBreak/>
              <w:t>b</w:t>
            </w:r>
            <w:r w:rsidR="00491560" w:rsidRPr="00BF25A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adania laboratoryjne wykonuje się maksymalnie na 2 tygodnie przed kwalifikacją do programu, badania obrazowe (z wyjątkiem scyntygrafii) na 2 miesiące</w:t>
            </w:r>
            <w:r w:rsidR="0049156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przed kwalifikacją do programu, scyntygrafię wykonuje się maksymalnie na 3 miesiące przed kwalifikacją pacjenta do programu.</w:t>
            </w:r>
          </w:p>
          <w:p w14:paraId="24959193" w14:textId="77777777" w:rsidR="00491560" w:rsidRPr="005D2A3D" w:rsidRDefault="006B2EA2" w:rsidP="00BF25A1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17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ramach kwalifikacji pacjenta do programu wykonuje się następujące badania:</w:t>
            </w:r>
          </w:p>
          <w:p w14:paraId="18FE67E1" w14:textId="77777777" w:rsidR="00491560" w:rsidRPr="00BF25A1" w:rsidRDefault="00491560" w:rsidP="00BF25A1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72E3F468" w14:textId="77777777" w:rsidR="00491560" w:rsidRPr="00BF25A1" w:rsidRDefault="00491560" w:rsidP="00F02EB5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2E243989" w14:textId="77777777" w:rsidR="00491560" w:rsidRPr="00BF25A1" w:rsidRDefault="0049156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stężenia: bilirubiny, kreatyniny, fosfatazy alkalicznej, testosteronu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3EC00B12" w14:textId="77777777" w:rsidR="00491560" w:rsidRPr="00BF25A1" w:rsidRDefault="0049156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aktywności transaminaz (AspAT, AlAT)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68758442" w14:textId="77777777" w:rsidR="00491560" w:rsidRPr="00BF25A1" w:rsidRDefault="0049156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kości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7F5FC631" w14:textId="77777777" w:rsidR="00491560" w:rsidRPr="00BF25A1" w:rsidRDefault="0049156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tomografia komputerowa jamy brzusznej i miednicy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18434D6C" w14:textId="77777777" w:rsidR="00491560" w:rsidRPr="005D2A3D" w:rsidRDefault="0049156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rtg lub tomografia komputerowa klatki piersiowej.</w:t>
            </w:r>
          </w:p>
          <w:p w14:paraId="68FDF961" w14:textId="77777777" w:rsidR="00491560" w:rsidRPr="005D2A3D" w:rsidRDefault="00491560" w:rsidP="00243D79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leczenia</w:t>
            </w:r>
          </w:p>
          <w:p w14:paraId="7254F393" w14:textId="77777777" w:rsidR="00491560" w:rsidRPr="005D2A3D" w:rsidRDefault="006B2EA2" w:rsidP="00BF25A1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ramach monitorowania leczenia w programie 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każdorazowo przed podaniem kolejnej dawki leku </w:t>
            </w:r>
            <w:r w:rsidR="0049156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wykonuje się następujące badania:</w:t>
            </w:r>
          </w:p>
          <w:p w14:paraId="4011397A" w14:textId="77777777" w:rsidR="00491560" w:rsidRPr="005D2A3D" w:rsidRDefault="004915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rozmazem,</w:t>
            </w:r>
          </w:p>
          <w:p w14:paraId="6FD6C686" w14:textId="77777777" w:rsidR="00491560" w:rsidRPr="005D2A3D" w:rsidRDefault="004915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w surowicy stężenia bilirubiny, kreatyniny, fosfatazy alkalicznej, </w:t>
            </w:r>
          </w:p>
          <w:p w14:paraId="1D8AEE47" w14:textId="77777777" w:rsidR="00491560" w:rsidRPr="005D2A3D" w:rsidRDefault="004915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aktywności transaminaz (AspAT, AlAT),</w:t>
            </w:r>
          </w:p>
          <w:p w14:paraId="75E3ED56" w14:textId="77777777" w:rsidR="00491560" w:rsidRPr="00BF25A1" w:rsidRDefault="004915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414EA63" w14:textId="77777777" w:rsidR="00491560" w:rsidRPr="00BF25A1" w:rsidRDefault="006B2EA2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 zakończeniu leczenia w programie, w okresie 4-8 tygodni od momentu podania ostatniej 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 leku, jednorazowo wykonuje się badania określone w pkt 1)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170B267" w14:textId="77777777" w:rsidR="00491560" w:rsidRPr="005D2A3D" w:rsidRDefault="006B2EA2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nne badania w razie wskazań klinicznych, zgodnie z decyzją lekarza prowadzącego.</w:t>
            </w:r>
          </w:p>
          <w:p w14:paraId="0B78FC7A" w14:textId="77777777" w:rsidR="00491560" w:rsidRPr="005D2A3D" w:rsidRDefault="00491560" w:rsidP="00243D79">
            <w:pPr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programu</w:t>
            </w:r>
          </w:p>
          <w:p w14:paraId="3B7A8CE4" w14:textId="77777777" w:rsidR="00491560" w:rsidRPr="005D2A3D" w:rsidRDefault="00667A99" w:rsidP="00BF25A1">
            <w:pPr>
              <w:widowControl w:val="0"/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romadzenie w dokumentacji medycznej pacjenta danych dotyczących monitorowania leczeni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 i 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każdorazowe ich przedstawianie na żądanie kontrolerów  Narodowego Funduszu Zdrowia;</w:t>
            </w:r>
          </w:p>
          <w:p w14:paraId="677BE5FC" w14:textId="77777777" w:rsidR="00491560" w:rsidRPr="005D2A3D" w:rsidRDefault="00667A99" w:rsidP="00BF25A1">
            <w:pPr>
              <w:widowControl w:val="0"/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zupełnianie danych zawartych w rejestrze (SMPT) dostępnym za pomocą aplikacji internetowej udostępnionej przez OW NFZ, z częstotliwością zgodną z opisem programu oraz 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 zakończenie leczenia;</w:t>
            </w:r>
          </w:p>
          <w:p w14:paraId="1732E89D" w14:textId="77777777" w:rsidR="00491560" w:rsidRPr="005D2A3D" w:rsidRDefault="00667A99" w:rsidP="00BF25A1">
            <w:pPr>
              <w:widowControl w:val="0"/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579F15AB" w14:textId="77777777" w:rsidR="00A06AAE" w:rsidRPr="009F4402" w:rsidRDefault="00A06AAE" w:rsidP="009F4402">
      <w:pPr>
        <w:rPr>
          <w:sz w:val="20"/>
        </w:rPr>
      </w:pPr>
    </w:p>
    <w:sectPr w:rsidR="00A06AAE" w:rsidRPr="009F4402" w:rsidSect="009F4402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33CFC" w14:textId="77777777" w:rsidR="003E526F" w:rsidRDefault="008121D5">
      <w:pPr>
        <w:spacing w:after="0" w:line="240" w:lineRule="auto"/>
      </w:pPr>
      <w:r>
        <w:separator/>
      </w:r>
    </w:p>
  </w:endnote>
  <w:endnote w:type="continuationSeparator" w:id="0">
    <w:p w14:paraId="55EE0167" w14:textId="77777777" w:rsidR="003E526F" w:rsidRDefault="0081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F45EC" w14:textId="77777777" w:rsidR="003E526F" w:rsidRDefault="008121D5">
      <w:pPr>
        <w:spacing w:after="0" w:line="240" w:lineRule="auto"/>
      </w:pPr>
      <w:r>
        <w:separator/>
      </w:r>
    </w:p>
  </w:footnote>
  <w:footnote w:type="continuationSeparator" w:id="0">
    <w:p w14:paraId="025D9A98" w14:textId="77777777" w:rsidR="003E526F" w:rsidRDefault="00812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7FCD"/>
    <w:multiLevelType w:val="multilevel"/>
    <w:tmpl w:val="1C5091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55655DE"/>
    <w:multiLevelType w:val="multilevel"/>
    <w:tmpl w:val="DC0EAD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295980"/>
    <w:multiLevelType w:val="hybridMultilevel"/>
    <w:tmpl w:val="04BAA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3B0ECB"/>
    <w:multiLevelType w:val="hybridMultilevel"/>
    <w:tmpl w:val="854AE1D6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3D14BF"/>
    <w:multiLevelType w:val="hybridMultilevel"/>
    <w:tmpl w:val="1974C8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2321B"/>
    <w:multiLevelType w:val="hybridMultilevel"/>
    <w:tmpl w:val="5CFEDF7A"/>
    <w:lvl w:ilvl="0" w:tplc="5BDA192E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B57046B"/>
    <w:multiLevelType w:val="hybridMultilevel"/>
    <w:tmpl w:val="5C2ED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37D34"/>
    <w:multiLevelType w:val="multilevel"/>
    <w:tmpl w:val="2D22D9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C2B590D"/>
    <w:multiLevelType w:val="hybridMultilevel"/>
    <w:tmpl w:val="41C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F1FFE"/>
    <w:multiLevelType w:val="hybridMultilevel"/>
    <w:tmpl w:val="FAAA0E88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E1151A"/>
    <w:multiLevelType w:val="hybridMultilevel"/>
    <w:tmpl w:val="F5FED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613E"/>
    <w:multiLevelType w:val="hybridMultilevel"/>
    <w:tmpl w:val="947E1116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E226C0"/>
    <w:multiLevelType w:val="hybridMultilevel"/>
    <w:tmpl w:val="A6105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05D5D"/>
    <w:multiLevelType w:val="multilevel"/>
    <w:tmpl w:val="FD8EEDF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11" w:hanging="360"/>
      </w:pPr>
    </w:lvl>
    <w:lvl w:ilvl="2">
      <w:start w:val="1"/>
      <w:numFmt w:val="decimal"/>
      <w:lvlText w:val="%1.%2.%3"/>
      <w:lvlJc w:val="left"/>
      <w:pPr>
        <w:ind w:left="1422" w:hanging="720"/>
      </w:pPr>
    </w:lvl>
    <w:lvl w:ilvl="3">
      <w:start w:val="1"/>
      <w:numFmt w:val="decimal"/>
      <w:lvlText w:val="%1.%2.%3.%4"/>
      <w:lvlJc w:val="left"/>
      <w:pPr>
        <w:ind w:left="1773" w:hanging="720"/>
      </w:pPr>
    </w:lvl>
    <w:lvl w:ilvl="4">
      <w:start w:val="1"/>
      <w:numFmt w:val="decimal"/>
      <w:lvlText w:val="%1.%2.%3.%4.%5"/>
      <w:lvlJc w:val="left"/>
      <w:pPr>
        <w:ind w:left="2124" w:hanging="720"/>
      </w:pPr>
    </w:lvl>
    <w:lvl w:ilvl="5">
      <w:start w:val="1"/>
      <w:numFmt w:val="decimal"/>
      <w:lvlText w:val="%1.%2.%3.%4.%5.%6"/>
      <w:lvlJc w:val="left"/>
      <w:pPr>
        <w:ind w:left="2835" w:hanging="1080"/>
      </w:pPr>
    </w:lvl>
    <w:lvl w:ilvl="6">
      <w:start w:val="1"/>
      <w:numFmt w:val="decimal"/>
      <w:lvlText w:val="%1.%2.%3.%4.%5.%6.%7"/>
      <w:lvlJc w:val="left"/>
      <w:pPr>
        <w:ind w:left="3186" w:hanging="1080"/>
      </w:pPr>
    </w:lvl>
    <w:lvl w:ilvl="7">
      <w:start w:val="1"/>
      <w:numFmt w:val="decimal"/>
      <w:lvlText w:val="%1.%2.%3.%4.%5.%6.%7.%8"/>
      <w:lvlJc w:val="left"/>
      <w:pPr>
        <w:ind w:left="3897" w:hanging="1440"/>
      </w:pPr>
    </w:lvl>
    <w:lvl w:ilvl="8">
      <w:start w:val="1"/>
      <w:numFmt w:val="decimal"/>
      <w:lvlText w:val="%1.%2.%3.%4.%5.%6.%7.%8.%9"/>
      <w:lvlJc w:val="left"/>
      <w:pPr>
        <w:ind w:left="4248" w:hanging="1440"/>
      </w:pPr>
    </w:lvl>
  </w:abstractNum>
  <w:abstractNum w:abstractNumId="14" w15:restartNumberingAfterBreak="0">
    <w:nsid w:val="2F9943C8"/>
    <w:multiLevelType w:val="hybridMultilevel"/>
    <w:tmpl w:val="8580DF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C952EE"/>
    <w:multiLevelType w:val="multilevel"/>
    <w:tmpl w:val="98322D8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16" w:hanging="360"/>
      </w:pPr>
    </w:lvl>
    <w:lvl w:ilvl="2">
      <w:start w:val="1"/>
      <w:numFmt w:val="decimal"/>
      <w:lvlText w:val="%1.%2.%3."/>
      <w:lvlJc w:val="left"/>
      <w:pPr>
        <w:ind w:left="632" w:hanging="720"/>
      </w:pPr>
    </w:lvl>
    <w:lvl w:ilvl="3">
      <w:start w:val="1"/>
      <w:numFmt w:val="decimal"/>
      <w:lvlText w:val="%1.%2.%3.%4."/>
      <w:lvlJc w:val="left"/>
      <w:pPr>
        <w:ind w:left="588" w:hanging="720"/>
      </w:pPr>
    </w:lvl>
    <w:lvl w:ilvl="4">
      <w:start w:val="1"/>
      <w:numFmt w:val="decimal"/>
      <w:lvlText w:val="%1.%2.%3.%4.%5."/>
      <w:lvlJc w:val="left"/>
      <w:pPr>
        <w:ind w:left="904" w:hanging="1080"/>
      </w:pPr>
    </w:lvl>
    <w:lvl w:ilvl="5">
      <w:start w:val="1"/>
      <w:numFmt w:val="decimal"/>
      <w:lvlText w:val="%1.%2.%3.%4.%5.%6."/>
      <w:lvlJc w:val="left"/>
      <w:pPr>
        <w:ind w:left="860" w:hanging="1080"/>
      </w:pPr>
    </w:lvl>
    <w:lvl w:ilvl="6">
      <w:start w:val="1"/>
      <w:numFmt w:val="decimal"/>
      <w:lvlText w:val="%1.%2.%3.%4.%5.%6.%7."/>
      <w:lvlJc w:val="left"/>
      <w:pPr>
        <w:ind w:left="1176" w:hanging="1440"/>
      </w:pPr>
    </w:lvl>
    <w:lvl w:ilvl="7">
      <w:start w:val="1"/>
      <w:numFmt w:val="decimal"/>
      <w:lvlText w:val="%1.%2.%3.%4.%5.%6.%7.%8."/>
      <w:lvlJc w:val="left"/>
      <w:pPr>
        <w:ind w:left="1132" w:hanging="1440"/>
      </w:pPr>
    </w:lvl>
    <w:lvl w:ilvl="8">
      <w:start w:val="1"/>
      <w:numFmt w:val="decimal"/>
      <w:lvlText w:val="%1.%2.%3.%4.%5.%6.%7.%8.%9."/>
      <w:lvlJc w:val="left"/>
      <w:pPr>
        <w:ind w:left="1448" w:hanging="1800"/>
      </w:pPr>
    </w:lvl>
  </w:abstractNum>
  <w:abstractNum w:abstractNumId="16" w15:restartNumberingAfterBreak="0">
    <w:nsid w:val="334771FC"/>
    <w:multiLevelType w:val="hybridMultilevel"/>
    <w:tmpl w:val="A784E5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7BF84B36">
      <w:start w:val="1"/>
      <w:numFmt w:val="decimal"/>
      <w:lvlText w:val="%2."/>
      <w:lvlJc w:val="left"/>
      <w:pPr>
        <w:ind w:left="121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04344D"/>
    <w:multiLevelType w:val="hybridMultilevel"/>
    <w:tmpl w:val="3BD47C8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F06DAC"/>
    <w:multiLevelType w:val="hybridMultilevel"/>
    <w:tmpl w:val="D85A8F50"/>
    <w:lvl w:ilvl="0" w:tplc="EC60CD76">
      <w:start w:val="1"/>
      <w:numFmt w:val="decimal"/>
      <w:lvlText w:val="%1)"/>
      <w:lvlJc w:val="left"/>
      <w:pPr>
        <w:ind w:left="720" w:hanging="360"/>
      </w:pPr>
      <w:rPr>
        <w:color w:val="00000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07410"/>
    <w:multiLevelType w:val="hybridMultilevel"/>
    <w:tmpl w:val="1B82BF3E"/>
    <w:lvl w:ilvl="0" w:tplc="C35E9C0C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C1070D"/>
    <w:multiLevelType w:val="multilevel"/>
    <w:tmpl w:val="F6E08D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2C9597A"/>
    <w:multiLevelType w:val="hybridMultilevel"/>
    <w:tmpl w:val="442CD9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C22523"/>
    <w:multiLevelType w:val="hybridMultilevel"/>
    <w:tmpl w:val="0B80A7C0"/>
    <w:lvl w:ilvl="0" w:tplc="2260478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A20AF"/>
    <w:multiLevelType w:val="hybridMultilevel"/>
    <w:tmpl w:val="02967C8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B511A94"/>
    <w:multiLevelType w:val="hybridMultilevel"/>
    <w:tmpl w:val="6C22B0DE"/>
    <w:lvl w:ilvl="0" w:tplc="1792838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EB71922"/>
    <w:multiLevelType w:val="hybridMultilevel"/>
    <w:tmpl w:val="8BC8F340"/>
    <w:lvl w:ilvl="0" w:tplc="76F4DDB8">
      <w:start w:val="1"/>
      <w:numFmt w:val="lowerLetter"/>
      <w:lvlText w:val="%1)"/>
      <w:lvlJc w:val="left"/>
      <w:pPr>
        <w:ind w:left="120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51544138"/>
    <w:multiLevelType w:val="hybridMultilevel"/>
    <w:tmpl w:val="9A78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73984"/>
    <w:multiLevelType w:val="multilevel"/>
    <w:tmpl w:val="EAF8ECBA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8341483"/>
    <w:multiLevelType w:val="multilevel"/>
    <w:tmpl w:val="65D411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2784" w:hanging="108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3712" w:hanging="1440"/>
      </w:pPr>
    </w:lvl>
  </w:abstractNum>
  <w:abstractNum w:abstractNumId="29" w15:restartNumberingAfterBreak="0">
    <w:nsid w:val="5C544035"/>
    <w:multiLevelType w:val="hybridMultilevel"/>
    <w:tmpl w:val="070C9734"/>
    <w:lvl w:ilvl="0" w:tplc="62DC0E5A">
      <w:start w:val="1"/>
      <w:numFmt w:val="decimal"/>
      <w:lvlText w:val="%1)"/>
      <w:lvlJc w:val="left"/>
      <w:pPr>
        <w:ind w:left="360" w:hanging="360"/>
      </w:pPr>
    </w:lvl>
    <w:lvl w:ilvl="1" w:tplc="E30AB33E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74B21"/>
    <w:multiLevelType w:val="hybridMultilevel"/>
    <w:tmpl w:val="CB82CC2E"/>
    <w:lvl w:ilvl="0" w:tplc="4DCE3F18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31" w15:restartNumberingAfterBreak="0">
    <w:nsid w:val="653A3E71"/>
    <w:multiLevelType w:val="hybridMultilevel"/>
    <w:tmpl w:val="578044A8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8C00B6"/>
    <w:multiLevelType w:val="multilevel"/>
    <w:tmpl w:val="3106307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69F4796C"/>
    <w:multiLevelType w:val="hybridMultilevel"/>
    <w:tmpl w:val="FCF83DFE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4D735C"/>
    <w:multiLevelType w:val="hybridMultilevel"/>
    <w:tmpl w:val="6CBCE4C6"/>
    <w:lvl w:ilvl="0" w:tplc="CB66A910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E7008A4"/>
    <w:multiLevelType w:val="hybridMultilevel"/>
    <w:tmpl w:val="8806C488"/>
    <w:lvl w:ilvl="0" w:tplc="23B2B30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019D2"/>
    <w:multiLevelType w:val="multilevel"/>
    <w:tmpl w:val="A3DCBB6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64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b/>
      </w:rPr>
    </w:lvl>
  </w:abstractNum>
  <w:abstractNum w:abstractNumId="37" w15:restartNumberingAfterBreak="0">
    <w:nsid w:val="75631AD0"/>
    <w:multiLevelType w:val="hybridMultilevel"/>
    <w:tmpl w:val="CB4258FE"/>
    <w:lvl w:ilvl="0" w:tplc="62DC0E5A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71186C"/>
    <w:multiLevelType w:val="hybridMultilevel"/>
    <w:tmpl w:val="2F5433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E30AB33E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68A5685"/>
    <w:multiLevelType w:val="hybridMultilevel"/>
    <w:tmpl w:val="5E044972"/>
    <w:lvl w:ilvl="0" w:tplc="A1C8E78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A41723C"/>
    <w:multiLevelType w:val="hybridMultilevel"/>
    <w:tmpl w:val="6276BF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71765A"/>
    <w:multiLevelType w:val="multilevel"/>
    <w:tmpl w:val="705616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560"/>
    <w:rsid w:val="000968B7"/>
    <w:rsid w:val="00150FCF"/>
    <w:rsid w:val="00243D79"/>
    <w:rsid w:val="00245C46"/>
    <w:rsid w:val="002F5FEE"/>
    <w:rsid w:val="0036594A"/>
    <w:rsid w:val="003A3748"/>
    <w:rsid w:val="003E526F"/>
    <w:rsid w:val="00406378"/>
    <w:rsid w:val="00473521"/>
    <w:rsid w:val="00474B9F"/>
    <w:rsid w:val="00491560"/>
    <w:rsid w:val="004A2684"/>
    <w:rsid w:val="004C1FAA"/>
    <w:rsid w:val="004E0F5E"/>
    <w:rsid w:val="004F6FC4"/>
    <w:rsid w:val="005B6CC0"/>
    <w:rsid w:val="005C650C"/>
    <w:rsid w:val="005D2A3D"/>
    <w:rsid w:val="00612863"/>
    <w:rsid w:val="00667A99"/>
    <w:rsid w:val="00694B30"/>
    <w:rsid w:val="006A2F7B"/>
    <w:rsid w:val="006A73A6"/>
    <w:rsid w:val="006B095F"/>
    <w:rsid w:val="006B2EA2"/>
    <w:rsid w:val="0070006B"/>
    <w:rsid w:val="007A3CB3"/>
    <w:rsid w:val="007D6E02"/>
    <w:rsid w:val="008121D5"/>
    <w:rsid w:val="00902275"/>
    <w:rsid w:val="0095398C"/>
    <w:rsid w:val="009F4402"/>
    <w:rsid w:val="00A06AAE"/>
    <w:rsid w:val="00A17720"/>
    <w:rsid w:val="00A45630"/>
    <w:rsid w:val="00A67592"/>
    <w:rsid w:val="00B17670"/>
    <w:rsid w:val="00B2245C"/>
    <w:rsid w:val="00B53AA1"/>
    <w:rsid w:val="00BC0503"/>
    <w:rsid w:val="00BC5824"/>
    <w:rsid w:val="00BF25A1"/>
    <w:rsid w:val="00C42E0B"/>
    <w:rsid w:val="00CD3CB7"/>
    <w:rsid w:val="00DA2F4B"/>
    <w:rsid w:val="00DB56D8"/>
    <w:rsid w:val="00DD5AB4"/>
    <w:rsid w:val="00E84730"/>
    <w:rsid w:val="00E95ADB"/>
    <w:rsid w:val="00F02EB5"/>
    <w:rsid w:val="00F9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C97D4"/>
  <w15:chartTrackingRefBased/>
  <w15:docId w15:val="{1DEBDBDA-CEBC-4899-AE6C-AEF5D8B8E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60"/>
  </w:style>
  <w:style w:type="paragraph" w:styleId="Stopka">
    <w:name w:val="footer"/>
    <w:basedOn w:val="Normalny"/>
    <w:link w:val="Stopka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60"/>
  </w:style>
  <w:style w:type="paragraph" w:styleId="Tekstdymka">
    <w:name w:val="Balloon Text"/>
    <w:basedOn w:val="Normalny"/>
    <w:link w:val="TekstdymkaZnak"/>
    <w:uiPriority w:val="99"/>
    <w:semiHidden/>
    <w:unhideWhenUsed/>
    <w:rsid w:val="005D2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A3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43D7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77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7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77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7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7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3507</Words>
  <Characters>21042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Królak-Buzakowska Joanna</cp:lastModifiedBy>
  <cp:revision>10</cp:revision>
  <dcterms:created xsi:type="dcterms:W3CDTF">2017-12-08T10:48:00Z</dcterms:created>
  <dcterms:modified xsi:type="dcterms:W3CDTF">2018-06-28T12:01:00Z</dcterms:modified>
</cp:coreProperties>
</file>